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DejaVu Sans" w:hAnsi="DejaVu Sans" w:cs="DejaVu Sans"/>
          <w:rtl w:val="1"/>
        </w:rPr>
        <w:t>شیوه نامه شناسایی ارزیابی و تقدیر از فعالیت های اثرگذار دانشگاه صنعتی شریف</w:t>
      </w:r>
    </w:p>
    <w:p>
      <w:pPr>
        <w:jc w:val="right"/>
        <w:bidi w:val="1"/>
      </w:pPr>
      <w:r>
        <w:rPr>
          <w:rFonts w:ascii="DejaVu Sans" w:hAnsi="DejaVu Sans" w:cs="DejaVu Sans"/>
          <w:rtl w:val="1"/>
        </w:rPr>
        <w:t>وضعیت سند: پیش‌نویس پیشنهادی برای بررسی و تصویب مرجع ذی‌صلاح دانشگاه؛ این متن مصوبه دانشگاه و مبنای ایجاد تعهد مالی یا اعطای عنوان رسمی نیست.</w:t>
      </w:r>
    </w:p>
    <w:p>
      <w:pPr>
        <w:pStyle w:val="Heading1"/>
        <w:jc w:val="right"/>
        <w:bidi w:val="1"/>
      </w:pPr>
      <w:r>
        <w:rPr>
          <w:rFonts w:ascii="DejaVu Sans" w:hAnsi="DejaVu Sans" w:cs="DejaVu Sans"/>
          <w:rtl w:val="1"/>
        </w:rPr>
        <w:t>۱. هدف  اصول و تعاریف</w:t>
      </w:r>
    </w:p>
    <w:p>
      <w:pPr>
        <w:jc w:val="right"/>
        <w:bidi w:val="1"/>
      </w:pPr>
      <w:r>
        <w:rPr>
          <w:rFonts w:ascii="DejaVu Sans" w:hAnsi="DejaVu Sans" w:cs="DejaVu Sans"/>
          <w:rtl w:val="1"/>
        </w:rPr>
        <w:t>هدف این نظام، شناسایی فعالیت‌های اثرگذار در آموزش، پژوهش، مدیریت، خدمات دانشگاهی، فرهنگ، اجتماع، نوآوری و مشارکت داوطلبانه، و فراهم کردن امکان تقدیر مستند و منظم از پدیدآورندگان آن‌هاست. ارزیابی باید به نتیجه قابل بررسی و نقش واقعی فرد متکی باشد؛ شهرت، عنوان سازمانی، تعداد معرفی‌کنندگان یا حجم ظاهری پرونده جایگزین شواهد نیست.</w:t>
      </w:r>
    </w:p>
    <w:p>
      <w:pPr>
        <w:jc w:val="right"/>
        <w:bidi w:val="1"/>
      </w:pPr>
      <w:r>
        <w:rPr>
          <w:rFonts w:ascii="DejaVu Sans" w:hAnsi="DejaVu Sans" w:cs="DejaVu Sans"/>
          <w:rtl w:val="1"/>
        </w:rPr>
        <w:t>«فعالیت» اقدام مشخص با مسئله، زمان اجرا، نقش فرد و نتیجه قابل بررسی است. «پرونده» مجموعه اطلاعات، فعالیت‌ها، شواهد و پاسخ‌های یک نامزد در یک دوره ارزیابی است. «نامزد» فردی است که خوداظهاری کرده یا پس از معرفی، مشارکت در فرایند را پذیرفته است. «معرفی‌کننده» فردی است که نامزد و فعالیت او را معرفی می‌کند. «ارزیاب» عضو مأمور بررسی تخصصی پرونده است. «کمیته نهایی» مرجعی است که مطابق ترکیب و حدود اختیار اعلام‌شده، تصمیم نهایی تقدیر را تأیید می‌کند.</w:t>
      </w:r>
    </w:p>
    <w:p>
      <w:pPr>
        <w:jc w:val="right"/>
        <w:bidi w:val="1"/>
      </w:pPr>
      <w:r>
        <w:rPr>
          <w:rFonts w:ascii="DejaVu Sans" w:hAnsi="DejaVu Sans" w:cs="DejaVu Sans"/>
          <w:rtl w:val="1"/>
        </w:rPr>
        <w:t>فرایند بر شفافیت پیش از آغاز دوره، امکان ثبت در طول سال، انصاف میان موقعیت‌های متفاوت، بررسی مستندات، پرهیز از تعارض منافع، حفاظت از اطلاعات و امکان دریافت بازخورد استوار است. میزان اثرگذاری باید نسبت به مسئله، مخاطبان و فرصت واقعی فعالیت سنجیده شود؛ فعالیت ارزشمند در یک واحد کوچک صرفاً به دلیل تعداد کمتر ذی‌نفعان کم‌اهمیت تلقی نمی‌شود.</w:t>
      </w:r>
    </w:p>
    <w:p>
      <w:pPr>
        <w:pStyle w:val="Heading1"/>
        <w:jc w:val="right"/>
        <w:bidi w:val="1"/>
      </w:pPr>
      <w:r>
        <w:rPr>
          <w:rFonts w:ascii="DejaVu Sans" w:hAnsi="DejaVu Sans" w:cs="DejaVu Sans"/>
          <w:rtl w:val="1"/>
        </w:rPr>
        <w:t>۲. مسیرهای ارزیابی و شرایط ورود</w:t>
      </w:r>
    </w:p>
    <w:p>
      <w:pPr>
        <w:jc w:val="right"/>
        <w:bidi w:val="1"/>
      </w:pPr>
      <w:r>
        <w:rPr>
          <w:rFonts w:ascii="DejaVu Sans" w:hAnsi="DejaVu Sans" w:cs="DejaVu Sans"/>
          <w:rtl w:val="1"/>
        </w:rPr>
        <w:t>سه مسیر از یک ماتریس مشترک صد امتیازی استفاده می‌کنند. تفاوت مسیرها در پرسش‌های تکمیلی، نمونه شواهد و تفسیر شاخص‌ها با توجه به مسئولیت فرد است، نه در مجموع امتیاز یا وزن معیارها.</w:t>
      </w:r>
    </w:p>
    <w:tbl>
      <w:tblPr>
        <w:tblStyle w:val="TableGrid"/>
        <w:tblW w:type="auto" w:w="0"/>
        <w:tblLayout w:type="fixed"/>
        <w:tblLook w:firstColumn="1" w:firstRow="1" w:lastColumn="0" w:lastRow="0" w:noHBand="0" w:noVBand="1" w:val="04A0"/>
      </w:tblPr>
      <w:tblGrid>
        <w:gridCol w:w="3213"/>
        <w:gridCol w:w="3213"/>
        <w:gridCol w:w="3213"/>
      </w:tblGrid>
      <w:tr>
        <w:trPr>
          <w:cantSplit/>
          <w:tblHeader/>
        </w:trPr>
        <w:tc>
          <w:tcPr>
            <w:tcW w:type="dxa" w:w="3213"/>
            <w:shd w:fill="EAF0F7"/>
          </w:tcPr>
          <w:p>
            <w:pPr>
              <w:spacing w:line="288" w:lineRule="auto" w:after="80"/>
              <w:jc w:val="right"/>
              <w:bidi w:val="1"/>
            </w:pPr>
            <w:r>
              <w:rPr>
                <w:rFonts w:ascii="DejaVu Sans" w:hAnsi="DejaVu Sans" w:cs="DejaVu Sans"/>
                <w:b/>
                <w:sz w:val="19"/>
                <w:rtl w:val="1"/>
              </w:rPr>
              <w:t>اطلاعات تکمیلی و شواهد متناسب</w:t>
            </w:r>
          </w:p>
        </w:tc>
        <w:tc>
          <w:tcPr>
            <w:tcW w:type="dxa" w:w="3213"/>
            <w:shd w:fill="EAF0F7"/>
          </w:tcPr>
          <w:p>
            <w:pPr>
              <w:spacing w:line="288" w:lineRule="auto" w:after="80"/>
              <w:jc w:val="right"/>
              <w:bidi w:val="1"/>
            </w:pPr>
            <w:r>
              <w:rPr>
                <w:rFonts w:ascii="DejaVu Sans" w:hAnsi="DejaVu Sans" w:cs="DejaVu Sans"/>
                <w:b/>
                <w:sz w:val="19"/>
                <w:rtl w:val="1"/>
              </w:rPr>
              <w:t>افراد و فعالیت‌های قابل طرح</w:t>
            </w:r>
          </w:p>
        </w:tc>
        <w:tc>
          <w:tcPr>
            <w:tcW w:type="dxa" w:w="3213"/>
            <w:shd w:fill="EAF0F7"/>
          </w:tcPr>
          <w:p>
            <w:pPr>
              <w:spacing w:line="288" w:lineRule="auto" w:after="80"/>
              <w:jc w:val="right"/>
              <w:bidi w:val="1"/>
            </w:pPr>
            <w:r>
              <w:rPr>
                <w:rFonts w:ascii="DejaVu Sans" w:hAnsi="DejaVu Sans" w:cs="DejaVu Sans"/>
                <w:b/>
                <w:sz w:val="19"/>
                <w:rtl w:val="1"/>
              </w:rPr>
              <w:t>مسیر</w:t>
            </w:r>
          </w:p>
        </w:tc>
      </w:tr>
      <w:tr>
        <w:trPr>
          <w:cantSplit/>
        </w:trPr>
        <w:tc>
          <w:tcPr>
            <w:tcW w:type="dxa" w:w="3213"/>
          </w:tcPr>
          <w:p>
            <w:pPr>
              <w:spacing w:line="288" w:lineRule="auto" w:after="80"/>
              <w:jc w:val="right"/>
              <w:bidi w:val="1"/>
            </w:pPr>
            <w:r>
              <w:rPr>
                <w:rFonts w:ascii="DejaVu Sans" w:hAnsi="DejaVu Sans" w:cs="DejaVu Sans"/>
                <w:sz w:val="19"/>
                <w:rtl w:val="1"/>
              </w:rPr>
              <w:t>سمت یا وابستگی در دوره فعالیت، مسئله و دامنه اختیار، نقش شخص در تصمیم و اجرا، نتایج پیش و پس از اقدام؛ برای فعالیت علمی، خروجی آموزشی یا پژوهشی و کاربرد یا اثر آن.</w:t>
            </w:r>
          </w:p>
        </w:tc>
        <w:tc>
          <w:tcPr>
            <w:tcW w:type="dxa" w:w="3213"/>
          </w:tcPr>
          <w:p>
            <w:pPr>
              <w:spacing w:line="288" w:lineRule="auto" w:after="80"/>
              <w:jc w:val="right"/>
              <w:bidi w:val="1"/>
            </w:pPr>
            <w:r>
              <w:rPr>
                <w:rFonts w:ascii="DejaVu Sans" w:hAnsi="DejaVu Sans" w:cs="DejaVu Sans"/>
                <w:sz w:val="19"/>
                <w:rtl w:val="1"/>
              </w:rPr>
              <w:t>مدیران و معاونان دانشگاه و واحدهای آن؛ اقدامات راهبری، بهبود حکمرانی، هماهنگی بین واحدها و مدیریت منابع. فعالیت علمی اعضای هیئت علمی، اعم از داشتن یا نداشتن سمت مدیریتی، در زیرحوزه آموزشی، پژوهشی یا علمی همین مسیر قابل ارائه است.</w:t>
            </w:r>
          </w:p>
        </w:tc>
        <w:tc>
          <w:tcPr>
            <w:tcW w:type="dxa" w:w="3213"/>
          </w:tcPr>
          <w:p>
            <w:pPr>
              <w:spacing w:line="288" w:lineRule="auto" w:after="80"/>
              <w:jc w:val="right"/>
              <w:bidi w:val="1"/>
            </w:pPr>
            <w:r>
              <w:rPr>
                <w:rFonts w:ascii="DejaVu Sans" w:hAnsi="DejaVu Sans" w:cs="DejaVu Sans"/>
                <w:sz w:val="19"/>
                <w:rtl w:val="1"/>
              </w:rPr>
              <w:t>مدیریت و معاونت‌ها</w:t>
            </w:r>
          </w:p>
        </w:tc>
      </w:tr>
      <w:tr>
        <w:trPr>
          <w:cantSplit/>
        </w:trPr>
        <w:tc>
          <w:tcPr>
            <w:tcW w:type="dxa" w:w="3213"/>
          </w:tcPr>
          <w:p>
            <w:pPr>
              <w:spacing w:line="288" w:lineRule="auto" w:after="80"/>
              <w:jc w:val="right"/>
              <w:bidi w:val="1"/>
            </w:pPr>
            <w:r>
              <w:rPr>
                <w:rFonts w:ascii="DejaVu Sans" w:hAnsi="DejaVu Sans" w:cs="DejaVu Sans"/>
                <w:sz w:val="19"/>
                <w:rtl w:val="1"/>
              </w:rPr>
              <w:t>دانشکده و نسبت با دانشگاه، دوره تحصیل یا فراغت در صورت ارتباط، نقش در گروه، ذی‌نفعان، نتیجه فعالیت و تأیید مرجع مرتبط. فعالیت حرفه‌ای دانش‌آموخته باید ارتباط یا اثر روشن و مستند با دانشگاه یا جامعه مورد نظر طرح داشته باشد.</w:t>
            </w:r>
          </w:p>
        </w:tc>
        <w:tc>
          <w:tcPr>
            <w:tcW w:type="dxa" w:w="3213"/>
          </w:tcPr>
          <w:p>
            <w:pPr>
              <w:spacing w:line="288" w:lineRule="auto" w:after="80"/>
              <w:jc w:val="right"/>
              <w:bidi w:val="1"/>
            </w:pPr>
            <w:r>
              <w:rPr>
                <w:rFonts w:ascii="DejaVu Sans" w:hAnsi="DejaVu Sans" w:cs="DejaVu Sans"/>
                <w:sz w:val="19"/>
                <w:rtl w:val="1"/>
              </w:rPr>
              <w:t>دانشجویان و دانش‌آموختگان شریف؛ فعالیت علمی، آموزشی، فرهنگی، اجتماعی، نوآورانه، انجمنی، انتقال تجربه و همراهی مؤثر با جامعه دانشگاهی.</w:t>
            </w:r>
          </w:p>
        </w:tc>
        <w:tc>
          <w:tcPr>
            <w:tcW w:type="dxa" w:w="3213"/>
          </w:tcPr>
          <w:p>
            <w:pPr>
              <w:spacing w:line="288" w:lineRule="auto" w:after="80"/>
              <w:jc w:val="right"/>
              <w:bidi w:val="1"/>
            </w:pPr>
            <w:r>
              <w:rPr>
                <w:rFonts w:ascii="DejaVu Sans" w:hAnsi="DejaVu Sans" w:cs="DejaVu Sans"/>
                <w:sz w:val="19"/>
                <w:rtl w:val="1"/>
              </w:rPr>
              <w:t>دانشجویان و دانش‌آموختگان</w:t>
            </w:r>
          </w:p>
        </w:tc>
      </w:tr>
      <w:tr>
        <w:trPr>
          <w:cantSplit/>
        </w:trPr>
        <w:tc>
          <w:tcPr>
            <w:tcW w:type="dxa" w:w="3213"/>
          </w:tcPr>
          <w:p>
            <w:pPr>
              <w:spacing w:line="288" w:lineRule="auto" w:after="80"/>
              <w:jc w:val="right"/>
              <w:bidi w:val="1"/>
            </w:pPr>
            <w:r>
              <w:rPr>
                <w:rFonts w:ascii="DejaVu Sans" w:hAnsi="DejaVu Sans" w:cs="DejaVu Sans"/>
                <w:sz w:val="19"/>
                <w:rtl w:val="1"/>
              </w:rPr>
              <w:t>واحد محل فعالیت، شرح مسئولیت مرتبط، سهم شخص در اقدام، شاخص کیفیت یا زمان یا منابع، بازخورد بهره‌برداران و استمرار خدمت.</w:t>
            </w:r>
          </w:p>
        </w:tc>
        <w:tc>
          <w:tcPr>
            <w:tcW w:type="dxa" w:w="3213"/>
          </w:tcPr>
          <w:p>
            <w:pPr>
              <w:spacing w:line="288" w:lineRule="auto" w:after="80"/>
              <w:jc w:val="right"/>
              <w:bidi w:val="1"/>
            </w:pPr>
            <w:r>
              <w:rPr>
                <w:rFonts w:ascii="DejaVu Sans" w:hAnsi="DejaVu Sans" w:cs="DejaVu Sans"/>
                <w:sz w:val="19"/>
                <w:rtl w:val="1"/>
              </w:rPr>
              <w:t>کارکنان واحدهای دانشگاه؛ بهبود خدمات، فرایندها، ایمنی، دسترس‌پذیری، پشتیبانی، بهره‌وری و مشارکت مؤثر فراتر از انتظار متعارف مسئولیت.</w:t>
            </w:r>
          </w:p>
        </w:tc>
        <w:tc>
          <w:tcPr>
            <w:tcW w:type="dxa" w:w="3213"/>
          </w:tcPr>
          <w:p>
            <w:pPr>
              <w:spacing w:line="288" w:lineRule="auto" w:after="80"/>
              <w:jc w:val="right"/>
              <w:bidi w:val="1"/>
            </w:pPr>
            <w:r>
              <w:rPr>
                <w:rFonts w:ascii="DejaVu Sans" w:hAnsi="DejaVu Sans" w:cs="DejaVu Sans"/>
                <w:sz w:val="19"/>
                <w:rtl w:val="1"/>
              </w:rPr>
              <w:t>کارکنان</w:t>
            </w:r>
          </w:p>
        </w:tc>
      </w:tr>
    </w:tbl>
    <w:p>
      <w:pPr>
        <w:jc w:val="right"/>
        <w:bidi w:val="1"/>
      </w:pPr>
      <w:r>
        <w:rPr>
          <w:rFonts w:ascii="DejaVu Sans" w:hAnsi="DejaVu Sans" w:cs="DejaVu Sans"/>
          <w:rtl w:val="1"/>
        </w:rPr>
        <w:t>برای فردی که چند وابستگی دارد، مسیر بر اساس نقش او در فعالیت اصلی پرونده و در بازه ارزیابی تعیین می‌شود. دانش‌آموخته‌ای که فعالیت مورد بحث را در مقام کارمند انجام داده، آن فعالیت را در مسیر کارکنان ارائه می‌کند. یک فعالیت واحد در دو مسیر دوباره امتیاز نمی‌گیرد؛ دبیرخانه تناسب مسیر و نبود ثبت تکراری را در بررسی اولیه کنترل می‌کند.</w:t>
      </w:r>
    </w:p>
    <w:p>
      <w:pPr>
        <w:jc w:val="right"/>
        <w:bidi w:val="1"/>
      </w:pPr>
      <w:r>
        <w:rPr>
          <w:rFonts w:ascii="DejaVu Sans" w:hAnsi="DejaVu Sans" w:cs="DejaVu Sans"/>
          <w:rtl w:val="1"/>
        </w:rPr>
        <w:t>نامزد باید نسبت قابل بررسی با گروه انتخابی، فعالیت مرتبط با اهداف فراخوان و مستندات قابل ارزیابی داشته باشد. فعالیت جاری می‌تواند سابقه‌ای طولانی‌تر از دوره داشته باشد، اما اثر و نقش مورد ارزیابی باید در بازه اعلام‌شده روشن شود. بخش‌هایی که قبلاً مبنای تقدیر قرار گرفته‌اند تنها با تفکیک دستاورد تازه و اثر دوره جدید قابل طرح هستند. معرفی تیمی می‌تواند نقش اعضا را توضیح دهد؛ در این شیوه‌نامه انتخاب اشخاص بر سهم مستند هر فرد متکی است و صرف عضویت در تیم، امتیاز کامل تیم را به همه اعضا منتقل نمی‌کند.</w:t>
      </w:r>
    </w:p>
    <w:p>
      <w:pPr>
        <w:pStyle w:val="Heading1"/>
        <w:jc w:val="right"/>
        <w:bidi w:val="1"/>
      </w:pPr>
      <w:r>
        <w:rPr>
          <w:rFonts w:ascii="DejaVu Sans" w:hAnsi="DejaVu Sans" w:cs="DejaVu Sans"/>
          <w:rtl w:val="1"/>
        </w:rPr>
        <w:t>۳. ساختار اجرایی  حدود اختیار و تعارض منافع</w:t>
      </w:r>
    </w:p>
    <w:p>
      <w:pPr>
        <w:jc w:val="right"/>
        <w:bidi w:val="1"/>
      </w:pPr>
      <w:r>
        <w:rPr>
          <w:rFonts w:ascii="DejaVu Sans" w:hAnsi="DejaVu Sans" w:cs="DejaVu Sans"/>
          <w:rtl w:val="1"/>
        </w:rPr>
        <w:t>دبیرخانه مرکزی مسئول تنظیم فراخوان، هماهنگی دوره‌ها، دریافت پرونده‌ها، بررسی اولیه، درخواست رفع نقص، تعیین مسیر، هماهنگی ارزیابان، نگهداری سوابق و پیگیری اعلام نتایج است. کمیته تخصصی هر مسیر کیفیت شواهد و امتیازهای شش‌گانه را بررسی می‌کند. کمیته نهایی درباره اعتبار فرایند، فهرست واجدین شرایط و سطح و شکل تقدیر در چارچوب سیاست اعلام‌شده تصمیم می‌گیرد. ترکیب اعضا، حدود اختیار و مرجع تصویب باید پیش از آغاز دوره تعیین شود؛ در این پیش‌نویس فرد یا مقام مشخصی بدون سند منصوب نشده است.</w:t>
      </w:r>
    </w:p>
    <w:p>
      <w:pPr>
        <w:jc w:val="right"/>
        <w:bidi w:val="1"/>
      </w:pPr>
      <w:r>
        <w:rPr>
          <w:rFonts w:ascii="DejaVu Sans" w:hAnsi="DejaVu Sans" w:cs="DejaVu Sans"/>
          <w:rtl w:val="1"/>
        </w:rPr>
        <w:t>معرفی‌کننده، خود نامزد، همکار مستقیم در فعالیت مورد بررسی و شخص دارای منفعت یا رابطه‌ای که استقلال رأی را مخدوش می‌کند، نباید داوری یا تأیید آن پرونده را بر عهده بگیرد. ارزیاب باید پیش از پذیرش پرونده، تعارض احتمالی را اعلام کند. دبیرخانه دلیل کناره‌گیری را ثبت و پرونده را به ارزیاب مستقل دیگری ارجاع می‌دهد. ارائه توضیح یا تأیید واقعیت از سوی مدیر یا استاد مرتبط، جای رأی مستقل ارزیابی را نمی‌گیرد.</w:t>
      </w:r>
    </w:p>
    <w:p>
      <w:pPr>
        <w:jc w:val="right"/>
        <w:bidi w:val="1"/>
      </w:pPr>
      <w:r>
        <w:rPr>
          <w:rFonts w:ascii="DejaVu Sans" w:hAnsi="DejaVu Sans" w:cs="DejaVu Sans"/>
          <w:rtl w:val="1"/>
        </w:rPr>
        <w:t>پیشنهاد اجرایی این پیش‌نویس، بررسی هر پرونده توسط دست‌کم دو ارزیاب واجد صلاحیت و بدون تعارض منافع است؛ تعداد نهایی و سازوکار حل اختلاف نیازمند تصویب است. دسترسی فنی به مدیریت سامانه به‌خودی‌خود اختیار داوری یا تأیید علمی ایجاد نمی‌کند. نامزد و معرفی‌کننده نیز به پرونده دیگران، رأی محرمانه ارزیابان و مستندات داخلی کمیته دسترسی ندارند.</w:t>
      </w:r>
    </w:p>
    <w:p>
      <w:pPr>
        <w:pStyle w:val="Heading1"/>
        <w:jc w:val="right"/>
        <w:bidi w:val="1"/>
      </w:pPr>
      <w:r>
        <w:rPr>
          <w:rFonts w:ascii="DejaVu Sans" w:hAnsi="DejaVu Sans" w:cs="DejaVu Sans"/>
          <w:rtl w:val="1"/>
        </w:rPr>
        <w:t>۴. دوره سالانه  ثبت مستمر و تثبیت قواعد</w:t>
      </w:r>
    </w:p>
    <w:p>
      <w:pPr>
        <w:jc w:val="right"/>
        <w:bidi w:val="1"/>
      </w:pPr>
      <w:r>
        <w:rPr>
          <w:rFonts w:ascii="DejaVu Sans" w:hAnsi="DejaVu Sans" w:cs="DejaVu Sans"/>
          <w:rtl w:val="1"/>
        </w:rPr>
        <w:t>دفتر فعالیت‌های افراد در طول سال برای ثبت و به‌روزرسانی باز است. این ثبت مستمر با ارسال نهایی پرونده در فراخوان تفاوت دارد: فعالیت ذخیره‌شده در پیش‌نویس، خودبه‌خود به معنی ورود به ارزیابی یا تأیید دستاورد نیست. نامزد در مهلت اعلام‌شده، فعالیت‌های مرتبط با دوره را انتخاب، مستندات را کامل و پرونده را نهایی می‌کند.</w:t>
      </w:r>
    </w:p>
    <w:p>
      <w:pPr>
        <w:jc w:val="right"/>
        <w:bidi w:val="1"/>
      </w:pPr>
      <w:r>
        <w:rPr>
          <w:rFonts w:ascii="DejaVu Sans" w:hAnsi="DejaVu Sans" w:cs="DejaVu Sans"/>
          <w:rtl w:val="1"/>
        </w:rPr>
        <w:t>برای هر دوره، بازه فعالیت‌های قابل قبول، مهلت نهایی، مسیرهای فعال، نسخه شیوه‌نامه، ترکیب و ترتیب ارزیابی، حدنصاب‌ها، ظرفیت یا سیاست تعداد منتخبین، شکل تقدیر و روش پیگیری و اعتراض باید پیش از فراخوان اعلام شود. وزن‌های پایه این سند و وزن‌های مصوب و منتشرشده هر دوره، حدنصاب‌های اعلام‌شده و شرایط ورود در میانه داوری تغییر نمی‌کنند. اصلاح قواعد برای دوره آینده با نسخه تازه ثبت می‌شود؛ هر پرونده با همان نسخه معتبر در زمان ارسال نهایی ارزیابی خواهد شد.</w:t>
      </w:r>
    </w:p>
    <w:tbl>
      <w:tblPr>
        <w:tblStyle w:val="TableGrid"/>
        <w:tblW w:type="auto" w:w="0"/>
        <w:tblLayout w:type="fixed"/>
        <w:tblLook w:firstColumn="1" w:firstRow="1" w:lastColumn="0" w:lastRow="0" w:noHBand="0" w:noVBand="1" w:val="04A0"/>
      </w:tblPr>
      <w:tblGrid>
        <w:gridCol w:w="4819"/>
        <w:gridCol w:w="4819"/>
      </w:tblGrid>
      <w:tr>
        <w:trPr>
          <w:cantSplit/>
          <w:tblHeader/>
        </w:trPr>
        <w:tc>
          <w:tcPr>
            <w:tcW w:type="dxa" w:w="4819"/>
            <w:shd w:fill="EAF0F7"/>
          </w:tcPr>
          <w:p>
            <w:pPr>
              <w:spacing w:line="288" w:lineRule="auto" w:after="80"/>
              <w:jc w:val="right"/>
              <w:bidi w:val="1"/>
            </w:pPr>
            <w:r>
              <w:rPr>
                <w:rFonts w:ascii="DejaVu Sans" w:hAnsi="DejaVu Sans" w:cs="DejaVu Sans"/>
                <w:b/>
                <w:sz w:val="19"/>
                <w:rtl w:val="1"/>
              </w:rPr>
              <w:t>تقویم پیشنهادی برگرفته از طرح</w:t>
            </w:r>
          </w:p>
        </w:tc>
        <w:tc>
          <w:tcPr>
            <w:tcW w:type="dxa" w:w="4819"/>
            <w:shd w:fill="EAF0F7"/>
          </w:tcPr>
          <w:p>
            <w:pPr>
              <w:spacing w:line="288" w:lineRule="auto" w:after="80"/>
              <w:jc w:val="right"/>
              <w:bidi w:val="1"/>
            </w:pPr>
            <w:r>
              <w:rPr>
                <w:rFonts w:ascii="DejaVu Sans" w:hAnsi="DejaVu Sans" w:cs="DejaVu Sans"/>
                <w:b/>
                <w:sz w:val="19"/>
                <w:rtl w:val="1"/>
              </w:rPr>
              <w:t>مرحله</w:t>
            </w:r>
          </w:p>
        </w:tc>
      </w:tr>
      <w:tr>
        <w:trPr>
          <w:cantSplit/>
        </w:trPr>
        <w:tc>
          <w:tcPr>
            <w:tcW w:type="dxa" w:w="4819"/>
          </w:tcPr>
          <w:p>
            <w:pPr>
              <w:spacing w:line="288" w:lineRule="auto" w:after="80"/>
              <w:jc w:val="right"/>
              <w:bidi w:val="1"/>
            </w:pPr>
            <w:r>
              <w:rPr>
                <w:rFonts w:ascii="DejaVu Sans" w:hAnsi="DejaVu Sans" w:cs="DejaVu Sans"/>
                <w:sz w:val="19"/>
                <w:rtl w:val="1"/>
              </w:rPr>
              <w:t>در طول سال</w:t>
            </w:r>
          </w:p>
        </w:tc>
        <w:tc>
          <w:tcPr>
            <w:tcW w:type="dxa" w:w="4819"/>
          </w:tcPr>
          <w:p>
            <w:pPr>
              <w:spacing w:line="288" w:lineRule="auto" w:after="80"/>
              <w:jc w:val="right"/>
              <w:bidi w:val="1"/>
            </w:pPr>
            <w:r>
              <w:rPr>
                <w:rFonts w:ascii="DejaVu Sans" w:hAnsi="DejaVu Sans" w:cs="DejaVu Sans"/>
                <w:sz w:val="19"/>
                <w:rtl w:val="1"/>
              </w:rPr>
              <w:t>ثبت و مستندسازی فعالیت‌ها</w:t>
            </w:r>
          </w:p>
        </w:tc>
      </w:tr>
      <w:tr>
        <w:trPr>
          <w:cantSplit/>
        </w:trPr>
        <w:tc>
          <w:tcPr>
            <w:tcW w:type="dxa" w:w="4819"/>
          </w:tcPr>
          <w:p>
            <w:pPr>
              <w:spacing w:line="288" w:lineRule="auto" w:after="80"/>
              <w:jc w:val="right"/>
              <w:bidi w:val="1"/>
            </w:pPr>
            <w:r>
              <w:rPr>
                <w:rFonts w:ascii="DejaVu Sans" w:hAnsi="DejaVu Sans" w:cs="DejaVu Sans"/>
                <w:sz w:val="19"/>
                <w:rtl w:val="1"/>
              </w:rPr>
              <w:t>حدود یک ماه پیش از پایان دوره ارزیابی</w:t>
            </w:r>
          </w:p>
        </w:tc>
        <w:tc>
          <w:tcPr>
            <w:tcW w:type="dxa" w:w="4819"/>
          </w:tcPr>
          <w:p>
            <w:pPr>
              <w:spacing w:line="288" w:lineRule="auto" w:after="80"/>
              <w:jc w:val="right"/>
              <w:bidi w:val="1"/>
            </w:pPr>
            <w:r>
              <w:rPr>
                <w:rFonts w:ascii="DejaVu Sans" w:hAnsi="DejaVu Sans" w:cs="DejaVu Sans"/>
                <w:sz w:val="19"/>
                <w:rtl w:val="1"/>
              </w:rPr>
              <w:t>فراخوان نهایی و تکمیل پرونده</w:t>
            </w:r>
          </w:p>
        </w:tc>
      </w:tr>
      <w:tr>
        <w:trPr>
          <w:cantSplit/>
        </w:trPr>
        <w:tc>
          <w:tcPr>
            <w:tcW w:type="dxa" w:w="4819"/>
          </w:tcPr>
          <w:p>
            <w:pPr>
              <w:spacing w:line="288" w:lineRule="auto" w:after="80"/>
              <w:jc w:val="right"/>
              <w:bidi w:val="1"/>
            </w:pPr>
            <w:r>
              <w:rPr>
                <w:rFonts w:ascii="DejaVu Sans" w:hAnsi="DejaVu Sans" w:cs="DejaVu Sans"/>
                <w:sz w:val="19"/>
                <w:rtl w:val="1"/>
              </w:rPr>
              <w:t>حدود دو هفته</w:t>
            </w:r>
          </w:p>
        </w:tc>
        <w:tc>
          <w:tcPr>
            <w:tcW w:type="dxa" w:w="4819"/>
          </w:tcPr>
          <w:p>
            <w:pPr>
              <w:spacing w:line="288" w:lineRule="auto" w:after="80"/>
              <w:jc w:val="right"/>
              <w:bidi w:val="1"/>
            </w:pPr>
            <w:r>
              <w:rPr>
                <w:rFonts w:ascii="DejaVu Sans" w:hAnsi="DejaVu Sans" w:cs="DejaVu Sans"/>
                <w:sz w:val="19"/>
                <w:rtl w:val="1"/>
              </w:rPr>
              <w:t>بررسی اولیه دبیرخانه</w:t>
            </w:r>
          </w:p>
        </w:tc>
      </w:tr>
      <w:tr>
        <w:trPr>
          <w:cantSplit/>
        </w:trPr>
        <w:tc>
          <w:tcPr>
            <w:tcW w:type="dxa" w:w="4819"/>
          </w:tcPr>
          <w:p>
            <w:pPr>
              <w:spacing w:line="288" w:lineRule="auto" w:after="80"/>
              <w:jc w:val="right"/>
              <w:bidi w:val="1"/>
            </w:pPr>
            <w:r>
              <w:rPr>
                <w:rFonts w:ascii="DejaVu Sans" w:hAnsi="DejaVu Sans" w:cs="DejaVu Sans"/>
                <w:sz w:val="19"/>
                <w:rtl w:val="1"/>
              </w:rPr>
              <w:t>حدود دو تا سه هفته</w:t>
            </w:r>
          </w:p>
        </w:tc>
        <w:tc>
          <w:tcPr>
            <w:tcW w:type="dxa" w:w="4819"/>
          </w:tcPr>
          <w:p>
            <w:pPr>
              <w:spacing w:line="288" w:lineRule="auto" w:after="80"/>
              <w:jc w:val="right"/>
              <w:bidi w:val="1"/>
            </w:pPr>
            <w:r>
              <w:rPr>
                <w:rFonts w:ascii="DejaVu Sans" w:hAnsi="DejaVu Sans" w:cs="DejaVu Sans"/>
                <w:sz w:val="19"/>
                <w:rtl w:val="1"/>
              </w:rPr>
              <w:t>ارزیابی تخصصی</w:t>
            </w:r>
          </w:p>
        </w:tc>
      </w:tr>
      <w:tr>
        <w:trPr>
          <w:cantSplit/>
        </w:trPr>
        <w:tc>
          <w:tcPr>
            <w:tcW w:type="dxa" w:w="4819"/>
          </w:tcPr>
          <w:p>
            <w:pPr>
              <w:spacing w:line="288" w:lineRule="auto" w:after="80"/>
              <w:jc w:val="right"/>
              <w:bidi w:val="1"/>
            </w:pPr>
            <w:r>
              <w:rPr>
                <w:rFonts w:ascii="DejaVu Sans" w:hAnsi="DejaVu Sans" w:cs="DejaVu Sans"/>
                <w:sz w:val="19"/>
                <w:rtl w:val="1"/>
              </w:rPr>
              <w:t>حدود یک تا دو هفته</w:t>
            </w:r>
          </w:p>
        </w:tc>
        <w:tc>
          <w:tcPr>
            <w:tcW w:type="dxa" w:w="4819"/>
          </w:tcPr>
          <w:p>
            <w:pPr>
              <w:spacing w:line="288" w:lineRule="auto" w:after="80"/>
              <w:jc w:val="right"/>
              <w:bidi w:val="1"/>
            </w:pPr>
            <w:r>
              <w:rPr>
                <w:rFonts w:ascii="DejaVu Sans" w:hAnsi="DejaVu Sans" w:cs="DejaVu Sans"/>
                <w:sz w:val="19"/>
                <w:rtl w:val="1"/>
              </w:rPr>
              <w:t>جمع‌بندی و تأیید نهایی</w:t>
            </w:r>
          </w:p>
        </w:tc>
      </w:tr>
      <w:tr>
        <w:trPr>
          <w:cantSplit/>
        </w:trPr>
        <w:tc>
          <w:tcPr>
            <w:tcW w:type="dxa" w:w="4819"/>
          </w:tcPr>
          <w:p>
            <w:pPr>
              <w:spacing w:line="288" w:lineRule="auto" w:after="80"/>
              <w:jc w:val="right"/>
              <w:bidi w:val="1"/>
            </w:pPr>
            <w:r>
              <w:rPr>
                <w:rFonts w:ascii="DejaVu Sans" w:hAnsi="DejaVu Sans" w:cs="DejaVu Sans"/>
                <w:sz w:val="19"/>
                <w:rtl w:val="1"/>
              </w:rPr>
              <w:t>در برنامه سالانه‌ای که تاریخ آن جداگانه اعلام می‌شود</w:t>
            </w:r>
          </w:p>
        </w:tc>
        <w:tc>
          <w:tcPr>
            <w:tcW w:type="dxa" w:w="4819"/>
          </w:tcPr>
          <w:p>
            <w:pPr>
              <w:spacing w:line="288" w:lineRule="auto" w:after="80"/>
              <w:jc w:val="right"/>
              <w:bidi w:val="1"/>
            </w:pPr>
            <w:r>
              <w:rPr>
                <w:rFonts w:ascii="DejaVu Sans" w:hAnsi="DejaVu Sans" w:cs="DejaVu Sans"/>
                <w:sz w:val="19"/>
                <w:rtl w:val="1"/>
              </w:rPr>
              <w:t>معرفی و تقدیر</w:t>
            </w:r>
          </w:p>
        </w:tc>
      </w:tr>
    </w:tbl>
    <w:p>
      <w:pPr>
        <w:jc w:val="right"/>
        <w:bidi w:val="1"/>
      </w:pPr>
      <w:r>
        <w:rPr>
          <w:rFonts w:ascii="DejaVu Sans" w:hAnsi="DejaVu Sans" w:cs="DejaVu Sans"/>
          <w:rtl w:val="1"/>
        </w:rPr>
        <w:t>این بازه‌ها برنامه پیشنهادی هستند، نه تاریخ قطعی برگزاری یا مهلت مصوب. فراخوان هر دوره باید زمان دقیق را مشخص کند. پس از ارسال نهایی، نسخه پرونده برای ارزیابی محفوظ می‌ماند؛ رفع نقص و اصلاح با درخواست مشخص، زمان ثبت و نسخه قابل پیگیری انجام می‌شود.</w:t>
      </w:r>
    </w:p>
    <w:p>
      <w:pPr>
        <w:pStyle w:val="Heading1"/>
        <w:jc w:val="right"/>
        <w:bidi w:val="1"/>
      </w:pPr>
      <w:r>
        <w:rPr>
          <w:rFonts w:ascii="DejaVu Sans" w:hAnsi="DejaVu Sans" w:cs="DejaVu Sans"/>
          <w:rtl w:val="1"/>
        </w:rPr>
        <w:t>۵. خوداظهاری  معرفی نامزد و اجزای پرونده</w:t>
      </w:r>
    </w:p>
    <w:p>
      <w:pPr>
        <w:jc w:val="right"/>
        <w:bidi w:val="1"/>
      </w:pPr>
      <w:r>
        <w:rPr>
          <w:rFonts w:ascii="DejaVu Sans" w:hAnsi="DejaVu Sans" w:cs="DejaVu Sans"/>
          <w:rtl w:val="1"/>
        </w:rPr>
        <w:t>ورود از حساب کاربری مشترک سامانه انجام می‌شود. مشخصات هویتی موجود مانند نام کامل، شماره همراه و کد ملی از همان حساب دریافت می‌شود؛ ثبت پرونده تقدیر به ایجاد نام کاربری یا رمز عبور تازه نیاز ندارد. اطلاعات تکمیلی فقط در حدی دریافت می‌شود که برای وابستگی، فعالیت و بررسی لازم باشد. صحت شکلی داده هویتی و ورود به حساب نباید به‌عنوان تأیید ماهوی فعالیت یا احراز رسمی صلاحیت معرفی شود.</w:t>
      </w:r>
    </w:p>
    <w:p>
      <w:pPr>
        <w:jc w:val="right"/>
        <w:bidi w:val="1"/>
      </w:pPr>
      <w:r>
        <w:rPr>
          <w:rFonts w:ascii="DejaVu Sans" w:hAnsi="DejaVu Sans" w:cs="DejaVu Sans"/>
          <w:rtl w:val="1"/>
        </w:rPr>
        <w:t>شخص می‌تواند خوداظهاری کند یا نامزد از سوی مدیر، استاد، همکار یا سایر اعضای دانشگاه معرفی شود. معرفی باید همراه شرح فعالیت، علت شایستگی و شواهد اولیه باشد. نامزد از معرفی مطلع می‌شود و پس از پذیرش، اطلاعات و رضایت‌های لازم را تکمیل می‌کند. تعداد معرفی‌ها برای یک فرد امتیاز جداگانه ایجاد نمی‌کند؛ معرفی‌های مرتبط به همان پرونده یا فعالیت پیوند داده می‌شوند. معرفی‌کننده مجاز نیست به جای نامزد، اطلاعات حساب او را تغییر دهد یا از طرف او رضایت انتشار صادر کند.</w:t>
      </w:r>
    </w:p>
    <w:p>
      <w:pPr>
        <w:jc w:val="right"/>
        <w:bidi w:val="1"/>
      </w:pPr>
      <w:r>
        <w:rPr>
          <w:rFonts w:ascii="DejaVu Sans" w:hAnsi="DejaVu Sans" w:cs="DejaVu Sans"/>
          <w:rtl w:val="1"/>
        </w:rPr>
        <w:t>پرونده در سه مرحله پیشنهادی تکمیل می‌شود: «مشخصات فعالیت و مسیر»، «معیارها و مستندات» و «بازبینی و ثبت نهایی». برای هر فعالیت، عنوان روشن، حوزه، مسئله یا نیاز، بازه اجرا، محل یا واحد مرتبط، نقش شخص، میزان مشارکت، خروجی، اثر و ذی‌نفعان ثبت می‌شود. برای هر معیار نیز توضیح مختصر، شاهد مرتبط و خودامتیازی صفر تا پنج قابل ثبت است. خودامتیازی صرفاً برای توضیح ادعا و آماده‌سازی پرونده است و رأی کمیته محسوب نمی‌شود.</w:t>
      </w:r>
    </w:p>
    <w:p>
      <w:pPr>
        <w:jc w:val="right"/>
        <w:bidi w:val="1"/>
      </w:pPr>
      <w:r>
        <w:rPr>
          <w:rFonts w:ascii="DejaVu Sans" w:hAnsi="DejaVu Sans" w:cs="DejaVu Sans"/>
          <w:rtl w:val="1"/>
        </w:rPr>
        <w:t>نامزد می‌تواند چند فعالیت مرتبط را در یک پرونده ارائه کند، اما تعداد فعالیت‌ها نمره نهایی را جمع یا چندبرابر نمی‌کند. ارزیاب شش معیار را برای کل مجموعه منتخب، با تفکیک سهم و شواهد و جلوگیری از دوباره‌شماری، یک بار امتیاز می‌دهد. پیشرفت تکمیل فرم، تعداد مستندات و درصد کامل بودن پرونده از امتیاز شایستگی جداست. متقاضی باید پیش از ثبت نهایی، خلاصه پرونده، موارد ناقص و تعهد صحت اطلاعات را ببیند.</w:t>
      </w:r>
    </w:p>
    <w:p>
      <w:pPr>
        <w:pStyle w:val="Heading1"/>
        <w:jc w:val="right"/>
        <w:bidi w:val="1"/>
      </w:pPr>
      <w:r>
        <w:rPr>
          <w:rFonts w:ascii="DejaVu Sans" w:hAnsi="DejaVu Sans" w:cs="DejaVu Sans"/>
          <w:rtl w:val="1"/>
        </w:rPr>
        <w:t>۶. مستندات  بررسی اولیه و نگهداری شواهد</w:t>
      </w:r>
    </w:p>
    <w:p>
      <w:pPr>
        <w:jc w:val="right"/>
        <w:bidi w:val="1"/>
      </w:pPr>
      <w:r>
        <w:rPr>
          <w:rFonts w:ascii="DejaVu Sans" w:hAnsi="DejaVu Sans" w:cs="DejaVu Sans"/>
          <w:rtl w:val="1"/>
        </w:rPr>
        <w:t>هر ادعای اثر، کیفیت، نوآوری، نقش، استمرار یا فعالیت فراتر از وظیفه باید به شاهد قابل بررسی متصل باشد. شواهد می‌تواند شامل گزارش دارای تاریخ و تهیه‌کننده، آمار پیش و پس از اقدام، محصول یا خروجی، صورت‌جلسه، شرح سهم اعضا، تأیید مرجع مرتبط، نظرسنجی دارای روش روشن، تصویر یا فیلم توضیح‌دار و پیوند معتبر باشد. وجود نامه تقدیر یا ادعای شخصی به‌تنهایی جای اثبات نتیجه و نقش را نمی‌گیرد. برای آمار، تعریف شاخص، بازه اندازه‌گیری، مخرج یا گروه مخاطب و روش جمع‌آوری باید روشن باشد.</w:t>
      </w:r>
    </w:p>
    <w:p>
      <w:pPr>
        <w:jc w:val="right"/>
        <w:bidi w:val="1"/>
      </w:pPr>
      <w:r>
        <w:rPr>
          <w:rFonts w:ascii="DejaVu Sans" w:hAnsi="DejaVu Sans" w:cs="DejaVu Sans"/>
          <w:rtl w:val="1"/>
        </w:rPr>
        <w:t>دبیرخانه کامل بودن اطلاعات، ارتباط فعالیت با مسیر و دوره، خوانا و قابل دسترس بودن شواهد، انتساب به شخص و نبود تکرار را بررسی می‌کند. دبیرخانه اعتبار مستندات و علت رد یا درخواست توضیح را در یادداشت بررسی اولیه ثبت می‌کند. پرونده ناقص به مرحله رفع نقص برمی‌گردد؛ فقدان مدرک لازم نباید بدون اعلام دلیل به امتیاز صفر تبدیل شود. پس از تکمیل بررسی، نبود نتیجه قابل اثبات در یک معیار می‌تواند با دلیل روشن نمره صفر داشته باشد.</w:t>
      </w:r>
    </w:p>
    <w:p>
      <w:pPr>
        <w:jc w:val="right"/>
        <w:bidi w:val="1"/>
      </w:pPr>
      <w:r>
        <w:rPr>
          <w:rFonts w:ascii="DejaVu Sans" w:hAnsi="DejaVu Sans" w:cs="DejaVu Sans"/>
          <w:rtl w:val="1"/>
        </w:rPr>
        <w:t>در صورت ابهام، دبیرخانه یا کمیته می‌تواند توضیح تکمیلی یا تأیید مرجع مربوط را درخواست کند. ادعای مخدوش باید ابتدا با امکان پاسخ نامزد بررسی شود؛ تصمیم رد پرونده یا کنار گذاشتن شاهد، همراه دلیل و مرجع تصمیم محفوظ می‌ماند. نگهداری اصل نسخه ارسال‌شده و ثبت اصلاحات ضروری است.</w:t>
      </w:r>
    </w:p>
    <w:p>
      <w:pPr>
        <w:jc w:val="right"/>
        <w:bidi w:val="1"/>
      </w:pPr>
      <w:r>
        <w:rPr>
          <w:rFonts w:ascii="DejaVu Sans" w:hAnsi="DejaVu Sans" w:cs="DejaVu Sans"/>
          <w:rtl w:val="1"/>
        </w:rPr>
        <w:t>نوع و سقف فایل‌های پذیرفته‌شده باید متناسب با امکانات و قواعد سامانه در فراخوان اعلام شود. در سامانه، PDF و تصویرهای JPG، PNG و WebP تا ۸ مگابایت برای هر فایل و حداکثر ۱۰ فایل برای هر پرونده پذیرفته می‌شود. تا ۵ نشانی https نیز قابل ثبت است. فقط داده لازم جمع‌آوری شود؛ مستند محرمانه یا دارای اطلاعات اشخاص ثالث باید در حد لازم و با رعایت مجوز مربوط ارائه شود. مستندات پرونده عمومی نیستند و مدت نگهداری و شیوه دسترسی و حذف آن‌ها باید در سیاست دوره تعیین شود.</w:t>
      </w:r>
    </w:p>
    <w:p>
      <w:pPr>
        <w:pStyle w:val="Heading1"/>
        <w:jc w:val="right"/>
        <w:bidi w:val="1"/>
      </w:pPr>
      <w:r>
        <w:rPr>
          <w:rFonts w:ascii="DejaVu Sans" w:hAnsi="DejaVu Sans" w:cs="DejaVu Sans"/>
          <w:rtl w:val="1"/>
        </w:rPr>
        <w:t>۷. ماتریس مشترک و تفسیر متناسب با مسیر</w:t>
      </w:r>
    </w:p>
    <w:p>
      <w:pPr>
        <w:jc w:val="right"/>
        <w:bidi w:val="1"/>
      </w:pPr>
      <w:r>
        <w:rPr>
          <w:rFonts w:ascii="DejaVu Sans" w:hAnsi="DejaVu Sans" w:cs="DejaVu Sans"/>
          <w:rtl w:val="1"/>
        </w:rPr>
        <w:t>وزن‌های زیر عیناً از پیوست طرح پیشنهادی حفظ شده‌اند. «دامنه اثرگذاری» ذیل معیار اثرگذاری بررسی می‌شود و معیار هفتم یا امتیاز اضافی ایجاد نمی‌کند. عنوان علمی، سابقه استخدام، رتبه اداری، جنسیت یا تعداد مدارک نیز سهم مستقلی در این ماتریس ندارد.</w:t>
      </w:r>
    </w:p>
    <w:tbl>
      <w:tblPr>
        <w:tblStyle w:val="TableGrid"/>
        <w:tblW w:type="auto" w:w="0"/>
        <w:tblLayout w:type="fixed"/>
        <w:tblLook w:firstColumn="1" w:firstRow="1" w:lastColumn="0" w:lastRow="0" w:noHBand="0" w:noVBand="1" w:val="04A0"/>
      </w:tblPr>
      <w:tblGrid>
        <w:gridCol w:w="1928"/>
        <w:gridCol w:w="1928"/>
        <w:gridCol w:w="1928"/>
        <w:gridCol w:w="1928"/>
        <w:gridCol w:w="1928"/>
      </w:tblGrid>
      <w:tr>
        <w:trPr>
          <w:cantSplit/>
          <w:tblHeader/>
        </w:trPr>
        <w:tc>
          <w:tcPr>
            <w:tcW w:type="dxa" w:w="1928"/>
            <w:shd w:fill="EAF0F7"/>
          </w:tcPr>
          <w:p>
            <w:pPr>
              <w:spacing w:line="288" w:lineRule="auto" w:after="80"/>
              <w:jc w:val="right"/>
              <w:bidi w:val="1"/>
            </w:pPr>
            <w:r>
              <w:rPr>
                <w:rFonts w:ascii="DejaVu Sans" w:hAnsi="DejaVu Sans" w:cs="DejaVu Sans"/>
                <w:b/>
                <w:sz w:val="19"/>
                <w:rtl w:val="1"/>
              </w:rPr>
              <w:t>کارکنان</w:t>
            </w:r>
          </w:p>
        </w:tc>
        <w:tc>
          <w:tcPr>
            <w:tcW w:type="dxa" w:w="1928"/>
            <w:shd w:fill="EAF0F7"/>
          </w:tcPr>
          <w:p>
            <w:pPr>
              <w:spacing w:line="288" w:lineRule="auto" w:after="80"/>
              <w:jc w:val="right"/>
              <w:bidi w:val="1"/>
            </w:pPr>
            <w:r>
              <w:rPr>
                <w:rFonts w:ascii="DejaVu Sans" w:hAnsi="DejaVu Sans" w:cs="DejaVu Sans"/>
                <w:b/>
                <w:sz w:val="19"/>
                <w:rtl w:val="1"/>
              </w:rPr>
              <w:t>دانشجویان و دانش‌آموختگان</w:t>
            </w:r>
          </w:p>
        </w:tc>
        <w:tc>
          <w:tcPr>
            <w:tcW w:type="dxa" w:w="1928"/>
            <w:shd w:fill="EAF0F7"/>
          </w:tcPr>
          <w:p>
            <w:pPr>
              <w:spacing w:line="288" w:lineRule="auto" w:after="80"/>
              <w:jc w:val="right"/>
              <w:bidi w:val="1"/>
            </w:pPr>
            <w:r>
              <w:rPr>
                <w:rFonts w:ascii="DejaVu Sans" w:hAnsi="DejaVu Sans" w:cs="DejaVu Sans"/>
                <w:b/>
                <w:sz w:val="19"/>
                <w:rtl w:val="1"/>
              </w:rPr>
              <w:t>مدیریت، معاونت‌ها و زیرحوزه علمی</w:t>
            </w:r>
          </w:p>
        </w:tc>
        <w:tc>
          <w:tcPr>
            <w:tcW w:type="dxa" w:w="1928"/>
            <w:shd w:fill="EAF0F7"/>
          </w:tcPr>
          <w:p>
            <w:pPr>
              <w:spacing w:line="288" w:lineRule="auto" w:after="80"/>
              <w:jc w:val="right"/>
              <w:bidi w:val="1"/>
            </w:pPr>
            <w:r>
              <w:rPr>
                <w:rFonts w:ascii="DejaVu Sans" w:hAnsi="DejaVu Sans" w:cs="DejaVu Sans"/>
                <w:b/>
                <w:sz w:val="19"/>
                <w:rtl w:val="1"/>
              </w:rPr>
              <w:t>وزن و حداکثر امتیاز</w:t>
            </w:r>
          </w:p>
        </w:tc>
        <w:tc>
          <w:tcPr>
            <w:tcW w:type="dxa" w:w="1928"/>
            <w:shd w:fill="EAF0F7"/>
          </w:tcPr>
          <w:p>
            <w:pPr>
              <w:spacing w:line="288" w:lineRule="auto" w:after="80"/>
              <w:jc w:val="right"/>
              <w:bidi w:val="1"/>
            </w:pPr>
            <w:r>
              <w:rPr>
                <w:rFonts w:ascii="DejaVu Sans" w:hAnsi="DejaVu Sans" w:cs="DejaVu Sans"/>
                <w:b/>
                <w:sz w:val="19"/>
                <w:rtl w:val="1"/>
              </w:rPr>
              <w:t>معیار</w:t>
            </w:r>
          </w:p>
        </w:tc>
      </w:tr>
      <w:tr>
        <w:trPr>
          <w:cantSplit/>
        </w:trPr>
        <w:tc>
          <w:tcPr>
            <w:tcW w:type="dxa" w:w="1928"/>
          </w:tcPr>
          <w:p>
            <w:pPr>
              <w:spacing w:line="288" w:lineRule="auto" w:after="80"/>
              <w:jc w:val="right"/>
              <w:bidi w:val="1"/>
            </w:pPr>
            <w:r>
              <w:rPr>
                <w:rFonts w:ascii="DejaVu Sans" w:hAnsi="DejaVu Sans" w:cs="DejaVu Sans"/>
                <w:sz w:val="19"/>
                <w:rtl w:val="1"/>
              </w:rPr>
              <w:t>بهبود خدمت، ایمنی، دسترسی یا تجربه استفاده‌کنندگان و رفع مسئله واحد</w:t>
            </w:r>
          </w:p>
        </w:tc>
        <w:tc>
          <w:tcPr>
            <w:tcW w:type="dxa" w:w="1928"/>
          </w:tcPr>
          <w:p>
            <w:pPr>
              <w:spacing w:line="288" w:lineRule="auto" w:after="80"/>
              <w:jc w:val="right"/>
              <w:bidi w:val="1"/>
            </w:pPr>
            <w:r>
              <w:rPr>
                <w:rFonts w:ascii="DejaVu Sans" w:hAnsi="DejaVu Sans" w:cs="DejaVu Sans"/>
                <w:sz w:val="19"/>
                <w:rtl w:val="1"/>
              </w:rPr>
              <w:t>اثر علمی، آموزشی، فرهنگی یا اجتماعی بر جامعه هدف؛ انتقال تجربه و ایجاد فرصت</w:t>
            </w:r>
          </w:p>
        </w:tc>
        <w:tc>
          <w:tcPr>
            <w:tcW w:type="dxa" w:w="1928"/>
          </w:tcPr>
          <w:p>
            <w:pPr>
              <w:spacing w:line="288" w:lineRule="auto" w:after="80"/>
              <w:jc w:val="right"/>
              <w:bidi w:val="1"/>
            </w:pPr>
            <w:r>
              <w:rPr>
                <w:rFonts w:ascii="DejaVu Sans" w:hAnsi="DejaVu Sans" w:cs="DejaVu Sans"/>
                <w:sz w:val="19"/>
                <w:rtl w:val="1"/>
              </w:rPr>
              <w:t>حل مسئله دانشگاهی، بهبود تصمیم و هماهنگی، اثر آموزش یا پژوهش بر مخاطب و کاربرد واقعی</w:t>
            </w:r>
          </w:p>
        </w:tc>
        <w:tc>
          <w:tcPr>
            <w:tcW w:type="dxa" w:w="1928"/>
          </w:tcPr>
          <w:p>
            <w:pPr>
              <w:spacing w:line="288" w:lineRule="auto" w:after="80"/>
              <w:jc w:val="right"/>
              <w:bidi w:val="1"/>
            </w:pPr>
            <w:r>
              <w:rPr>
                <w:rFonts w:ascii="DejaVu Sans" w:hAnsi="DejaVu Sans" w:cs="DejaVu Sans"/>
                <w:sz w:val="19"/>
                <w:rtl w:val="1"/>
              </w:rPr>
              <w:t>۳۰</w:t>
            </w:r>
          </w:p>
        </w:tc>
        <w:tc>
          <w:tcPr>
            <w:tcW w:type="dxa" w:w="1928"/>
          </w:tcPr>
          <w:p>
            <w:pPr>
              <w:spacing w:line="288" w:lineRule="auto" w:after="80"/>
              <w:jc w:val="right"/>
              <w:bidi w:val="1"/>
            </w:pPr>
            <w:r>
              <w:rPr>
                <w:rFonts w:ascii="DejaVu Sans" w:hAnsi="DejaVu Sans" w:cs="DejaVu Sans"/>
                <w:sz w:val="19"/>
                <w:rtl w:val="1"/>
              </w:rPr>
              <w:t>میزان اثرگذاری فعالیت بر دانشگاه یا جامعه</w:t>
            </w:r>
          </w:p>
        </w:tc>
      </w:tr>
      <w:tr>
        <w:trPr>
          <w:cantSplit/>
        </w:trPr>
        <w:tc>
          <w:tcPr>
            <w:tcW w:type="dxa" w:w="1928"/>
          </w:tcPr>
          <w:p>
            <w:pPr>
              <w:spacing w:line="288" w:lineRule="auto" w:after="80"/>
              <w:jc w:val="right"/>
              <w:bidi w:val="1"/>
            </w:pPr>
            <w:r>
              <w:rPr>
                <w:rFonts w:ascii="DejaVu Sans" w:hAnsi="DejaVu Sans" w:cs="DejaVu Sans"/>
                <w:sz w:val="19"/>
                <w:rtl w:val="1"/>
              </w:rPr>
              <w:t>دقت، قابلیت اتکا، کاهش خطا و کیفیت خدمت یا فرایند</w:t>
            </w:r>
          </w:p>
        </w:tc>
        <w:tc>
          <w:tcPr>
            <w:tcW w:type="dxa" w:w="1928"/>
          </w:tcPr>
          <w:p>
            <w:pPr>
              <w:spacing w:line="288" w:lineRule="auto" w:after="80"/>
              <w:jc w:val="right"/>
              <w:bidi w:val="1"/>
            </w:pPr>
            <w:r>
              <w:rPr>
                <w:rFonts w:ascii="DejaVu Sans" w:hAnsi="DejaVu Sans" w:cs="DejaVu Sans"/>
                <w:sz w:val="19"/>
                <w:rtl w:val="1"/>
              </w:rPr>
              <w:t>محصول یا برنامه انجام‌شده، کیفیت اجرا و بازخورد مستند مخاطب</w:t>
            </w:r>
          </w:p>
        </w:tc>
        <w:tc>
          <w:tcPr>
            <w:tcW w:type="dxa" w:w="1928"/>
          </w:tcPr>
          <w:p>
            <w:pPr>
              <w:spacing w:line="288" w:lineRule="auto" w:after="80"/>
              <w:jc w:val="right"/>
              <w:bidi w:val="1"/>
            </w:pPr>
            <w:r>
              <w:rPr>
                <w:rFonts w:ascii="DejaVu Sans" w:hAnsi="DejaVu Sans" w:cs="DejaVu Sans"/>
                <w:sz w:val="19"/>
                <w:rtl w:val="1"/>
              </w:rPr>
              <w:t>خروجی معتبر، تحقق نتیجه اعلام‌شده، ارزیابی تخصصی و قابلیت بهره‌برداری</w:t>
            </w:r>
          </w:p>
        </w:tc>
        <w:tc>
          <w:tcPr>
            <w:tcW w:type="dxa" w:w="1928"/>
          </w:tcPr>
          <w:p>
            <w:pPr>
              <w:spacing w:line="288" w:lineRule="auto" w:after="80"/>
              <w:jc w:val="right"/>
              <w:bidi w:val="1"/>
            </w:pPr>
            <w:r>
              <w:rPr>
                <w:rFonts w:ascii="DejaVu Sans" w:hAnsi="DejaVu Sans" w:cs="DejaVu Sans"/>
                <w:sz w:val="19"/>
                <w:rtl w:val="1"/>
              </w:rPr>
              <w:t>۲۰</w:t>
            </w:r>
          </w:p>
        </w:tc>
        <w:tc>
          <w:tcPr>
            <w:tcW w:type="dxa" w:w="1928"/>
          </w:tcPr>
          <w:p>
            <w:pPr>
              <w:spacing w:line="288" w:lineRule="auto" w:after="80"/>
              <w:jc w:val="right"/>
              <w:bidi w:val="1"/>
            </w:pPr>
            <w:r>
              <w:rPr>
                <w:rFonts w:ascii="DejaVu Sans" w:hAnsi="DejaVu Sans" w:cs="DejaVu Sans"/>
                <w:sz w:val="19"/>
                <w:rtl w:val="1"/>
              </w:rPr>
              <w:t>کیفیت و نتایج حاصل از فعالیت</w:t>
            </w:r>
          </w:p>
        </w:tc>
      </w:tr>
      <w:tr>
        <w:trPr>
          <w:cantSplit/>
        </w:trPr>
        <w:tc>
          <w:tcPr>
            <w:tcW w:type="dxa" w:w="1928"/>
          </w:tcPr>
          <w:p>
            <w:pPr>
              <w:spacing w:line="288" w:lineRule="auto" w:after="80"/>
              <w:jc w:val="right"/>
              <w:bidi w:val="1"/>
            </w:pPr>
            <w:r>
              <w:rPr>
                <w:rFonts w:ascii="DejaVu Sans" w:hAnsi="DejaVu Sans" w:cs="DejaVu Sans"/>
                <w:sz w:val="19"/>
                <w:rtl w:val="1"/>
              </w:rPr>
              <w:t>ابتکار عملی مؤثر در خدمت یا فرایند، حتی بدون فناوری پیچیده</w:t>
            </w:r>
          </w:p>
        </w:tc>
        <w:tc>
          <w:tcPr>
            <w:tcW w:type="dxa" w:w="1928"/>
          </w:tcPr>
          <w:p>
            <w:pPr>
              <w:spacing w:line="288" w:lineRule="auto" w:after="80"/>
              <w:jc w:val="right"/>
              <w:bidi w:val="1"/>
            </w:pPr>
            <w:r>
              <w:rPr>
                <w:rFonts w:ascii="DejaVu Sans" w:hAnsi="DejaVu Sans" w:cs="DejaVu Sans"/>
                <w:sz w:val="19"/>
                <w:rtl w:val="1"/>
              </w:rPr>
              <w:t>ایده یا روش خلاقانه اجراشده و متناسب با نیاز</w:t>
            </w:r>
          </w:p>
        </w:tc>
        <w:tc>
          <w:tcPr>
            <w:tcW w:type="dxa" w:w="1928"/>
          </w:tcPr>
          <w:p>
            <w:pPr>
              <w:spacing w:line="288" w:lineRule="auto" w:after="80"/>
              <w:jc w:val="right"/>
              <w:bidi w:val="1"/>
            </w:pPr>
            <w:r>
              <w:rPr>
                <w:rFonts w:ascii="DejaVu Sans" w:hAnsi="DejaVu Sans" w:cs="DejaVu Sans"/>
                <w:sz w:val="19"/>
                <w:rtl w:val="1"/>
              </w:rPr>
              <w:t>روش تازه و مناسب برای حل مسئله، آموزش، پژوهش یا مدیریت</w:t>
            </w:r>
          </w:p>
        </w:tc>
        <w:tc>
          <w:tcPr>
            <w:tcW w:type="dxa" w:w="1928"/>
          </w:tcPr>
          <w:p>
            <w:pPr>
              <w:spacing w:line="288" w:lineRule="auto" w:after="80"/>
              <w:jc w:val="right"/>
              <w:bidi w:val="1"/>
            </w:pPr>
            <w:r>
              <w:rPr>
                <w:rFonts w:ascii="DejaVu Sans" w:hAnsi="DejaVu Sans" w:cs="DejaVu Sans"/>
                <w:sz w:val="19"/>
                <w:rtl w:val="1"/>
              </w:rPr>
              <w:t>۱۵</w:t>
            </w:r>
          </w:p>
        </w:tc>
        <w:tc>
          <w:tcPr>
            <w:tcW w:type="dxa" w:w="1928"/>
          </w:tcPr>
          <w:p>
            <w:pPr>
              <w:spacing w:line="288" w:lineRule="auto" w:after="80"/>
              <w:jc w:val="right"/>
              <w:bidi w:val="1"/>
            </w:pPr>
            <w:r>
              <w:rPr>
                <w:rFonts w:ascii="DejaVu Sans" w:hAnsi="DejaVu Sans" w:cs="DejaVu Sans"/>
                <w:sz w:val="19"/>
                <w:rtl w:val="1"/>
              </w:rPr>
              <w:t>خلاقیت و نوآوری در انجام فعالیت</w:t>
            </w:r>
          </w:p>
        </w:tc>
      </w:tr>
      <w:tr>
        <w:trPr>
          <w:cantSplit/>
        </w:trPr>
        <w:tc>
          <w:tcPr>
            <w:tcW w:type="dxa" w:w="1928"/>
          </w:tcPr>
          <w:p>
            <w:pPr>
              <w:spacing w:line="288" w:lineRule="auto" w:after="80"/>
              <w:jc w:val="right"/>
              <w:bidi w:val="1"/>
            </w:pPr>
            <w:r>
              <w:rPr>
                <w:rFonts w:ascii="DejaVu Sans" w:hAnsi="DejaVu Sans" w:cs="DejaVu Sans"/>
                <w:sz w:val="19"/>
                <w:rtl w:val="1"/>
              </w:rPr>
              <w:t>سهم عملی در طراحی و اجرای بهبود و همکاری مسئولانه با دیگران</w:t>
            </w:r>
          </w:p>
        </w:tc>
        <w:tc>
          <w:tcPr>
            <w:tcW w:type="dxa" w:w="1928"/>
          </w:tcPr>
          <w:p>
            <w:pPr>
              <w:spacing w:line="288" w:lineRule="auto" w:after="80"/>
              <w:jc w:val="right"/>
              <w:bidi w:val="1"/>
            </w:pPr>
            <w:r>
              <w:rPr>
                <w:rFonts w:ascii="DejaVu Sans" w:hAnsi="DejaVu Sans" w:cs="DejaVu Sans"/>
                <w:sz w:val="19"/>
                <w:rtl w:val="1"/>
              </w:rPr>
              <w:t>سهم واقعی در ایده، اجرا، هماهنگی یا تکمیل کار گروهی</w:t>
            </w:r>
          </w:p>
        </w:tc>
        <w:tc>
          <w:tcPr>
            <w:tcW w:type="dxa" w:w="1928"/>
          </w:tcPr>
          <w:p>
            <w:pPr>
              <w:spacing w:line="288" w:lineRule="auto" w:after="80"/>
              <w:jc w:val="right"/>
              <w:bidi w:val="1"/>
            </w:pPr>
            <w:r>
              <w:rPr>
                <w:rFonts w:ascii="DejaVu Sans" w:hAnsi="DejaVu Sans" w:cs="DejaVu Sans"/>
                <w:sz w:val="19"/>
                <w:rtl w:val="1"/>
              </w:rPr>
              <w:t>نقش قابل تفکیک در طراحی، تصمیم، اجرا و پاسخ‌گویی؛ صرف داشتن سمت کافی نیست</w:t>
            </w:r>
          </w:p>
        </w:tc>
        <w:tc>
          <w:tcPr>
            <w:tcW w:type="dxa" w:w="1928"/>
          </w:tcPr>
          <w:p>
            <w:pPr>
              <w:spacing w:line="288" w:lineRule="auto" w:after="80"/>
              <w:jc w:val="right"/>
              <w:bidi w:val="1"/>
            </w:pPr>
            <w:r>
              <w:rPr>
                <w:rFonts w:ascii="DejaVu Sans" w:hAnsi="DejaVu Sans" w:cs="DejaVu Sans"/>
                <w:sz w:val="19"/>
                <w:rtl w:val="1"/>
              </w:rPr>
              <w:t>۱۵</w:t>
            </w:r>
          </w:p>
        </w:tc>
        <w:tc>
          <w:tcPr>
            <w:tcW w:type="dxa" w:w="1928"/>
          </w:tcPr>
          <w:p>
            <w:pPr>
              <w:spacing w:line="288" w:lineRule="auto" w:after="80"/>
              <w:jc w:val="right"/>
              <w:bidi w:val="1"/>
            </w:pPr>
            <w:r>
              <w:rPr>
                <w:rFonts w:ascii="DejaVu Sans" w:hAnsi="DejaVu Sans" w:cs="DejaVu Sans"/>
                <w:sz w:val="19"/>
                <w:rtl w:val="1"/>
              </w:rPr>
              <w:t>میزان مشارکت و نقش مؤثر فرد</w:t>
            </w:r>
          </w:p>
        </w:tc>
      </w:tr>
      <w:tr>
        <w:trPr>
          <w:cantSplit/>
        </w:trPr>
        <w:tc>
          <w:tcPr>
            <w:tcW w:type="dxa" w:w="1928"/>
          </w:tcPr>
          <w:p>
            <w:pPr>
              <w:spacing w:line="288" w:lineRule="auto" w:after="80"/>
              <w:jc w:val="right"/>
              <w:bidi w:val="1"/>
            </w:pPr>
            <w:r>
              <w:rPr>
                <w:rFonts w:ascii="DejaVu Sans" w:hAnsi="DejaVu Sans" w:cs="DejaVu Sans"/>
                <w:sz w:val="19"/>
                <w:rtl w:val="1"/>
              </w:rPr>
              <w:t>پیگیری خدمت، حفظ کیفیت و مستندسازی برای دوام نتیجه</w:t>
            </w:r>
          </w:p>
        </w:tc>
        <w:tc>
          <w:tcPr>
            <w:tcW w:type="dxa" w:w="1928"/>
          </w:tcPr>
          <w:p>
            <w:pPr>
              <w:spacing w:line="288" w:lineRule="auto" w:after="80"/>
              <w:jc w:val="right"/>
              <w:bidi w:val="1"/>
            </w:pPr>
            <w:r>
              <w:rPr>
                <w:rFonts w:ascii="DejaVu Sans" w:hAnsi="DejaVu Sans" w:cs="DejaVu Sans"/>
                <w:sz w:val="19"/>
                <w:rtl w:val="1"/>
              </w:rPr>
              <w:t>استمرار مشارکت، تحویل مسئولانه و تداوم اثر پس از دوره فعالیت</w:t>
            </w:r>
          </w:p>
        </w:tc>
        <w:tc>
          <w:tcPr>
            <w:tcW w:type="dxa" w:w="1928"/>
          </w:tcPr>
          <w:p>
            <w:pPr>
              <w:spacing w:line="288" w:lineRule="auto" w:after="80"/>
              <w:jc w:val="right"/>
              <w:bidi w:val="1"/>
            </w:pPr>
            <w:r>
              <w:rPr>
                <w:rFonts w:ascii="DejaVu Sans" w:hAnsi="DejaVu Sans" w:cs="DejaVu Sans"/>
                <w:sz w:val="19"/>
                <w:rtl w:val="1"/>
              </w:rPr>
              <w:t>پیگیری نتایج، اصلاح، انتقال و دوام دستاورد</w:t>
            </w:r>
          </w:p>
        </w:tc>
        <w:tc>
          <w:tcPr>
            <w:tcW w:type="dxa" w:w="1928"/>
          </w:tcPr>
          <w:p>
            <w:pPr>
              <w:spacing w:line="288" w:lineRule="auto" w:after="80"/>
              <w:jc w:val="right"/>
              <w:bidi w:val="1"/>
            </w:pPr>
            <w:r>
              <w:rPr>
                <w:rFonts w:ascii="DejaVu Sans" w:hAnsi="DejaVu Sans" w:cs="DejaVu Sans"/>
                <w:sz w:val="19"/>
                <w:rtl w:val="1"/>
              </w:rPr>
              <w:t>۱۰</w:t>
            </w:r>
          </w:p>
        </w:tc>
        <w:tc>
          <w:tcPr>
            <w:tcW w:type="dxa" w:w="1928"/>
          </w:tcPr>
          <w:p>
            <w:pPr>
              <w:spacing w:line="288" w:lineRule="auto" w:after="80"/>
              <w:jc w:val="right"/>
              <w:bidi w:val="1"/>
            </w:pPr>
            <w:r>
              <w:rPr>
                <w:rFonts w:ascii="DejaVu Sans" w:hAnsi="DejaVu Sans" w:cs="DejaVu Sans"/>
                <w:sz w:val="19"/>
                <w:rtl w:val="1"/>
              </w:rPr>
              <w:t>استمرار و پیگیری فعالیت</w:t>
            </w:r>
          </w:p>
        </w:tc>
      </w:tr>
      <w:tr>
        <w:trPr>
          <w:cantSplit/>
        </w:trPr>
        <w:tc>
          <w:tcPr>
            <w:tcW w:type="dxa" w:w="1928"/>
          </w:tcPr>
          <w:p>
            <w:pPr>
              <w:spacing w:line="288" w:lineRule="auto" w:after="80"/>
              <w:jc w:val="right"/>
              <w:bidi w:val="1"/>
            </w:pPr>
            <w:r>
              <w:rPr>
                <w:rFonts w:ascii="DejaVu Sans" w:hAnsi="DejaVu Sans" w:cs="DejaVu Sans"/>
                <w:sz w:val="19"/>
                <w:rtl w:val="1"/>
              </w:rPr>
              <w:t>اقدام ارزشمند فراتر از انتظار معمول مسئولیت، نه صرف اضافه‌کاری یا حضور طولانی</w:t>
            </w:r>
          </w:p>
        </w:tc>
        <w:tc>
          <w:tcPr>
            <w:tcW w:type="dxa" w:w="1928"/>
          </w:tcPr>
          <w:p>
            <w:pPr>
              <w:spacing w:line="288" w:lineRule="auto" w:after="80"/>
              <w:jc w:val="right"/>
              <w:bidi w:val="1"/>
            </w:pPr>
            <w:r>
              <w:rPr>
                <w:rFonts w:ascii="DejaVu Sans" w:hAnsi="DejaVu Sans" w:cs="DejaVu Sans"/>
                <w:sz w:val="19"/>
                <w:rtl w:val="1"/>
              </w:rPr>
              <w:t>همراهی و مسئولیت‌پذیری فراتر از تکالیف تحصیلی یا تعهد عادی</w:t>
            </w:r>
          </w:p>
        </w:tc>
        <w:tc>
          <w:tcPr>
            <w:tcW w:type="dxa" w:w="1928"/>
          </w:tcPr>
          <w:p>
            <w:pPr>
              <w:spacing w:line="288" w:lineRule="auto" w:after="80"/>
              <w:jc w:val="right"/>
              <w:bidi w:val="1"/>
            </w:pPr>
            <w:r>
              <w:rPr>
                <w:rFonts w:ascii="DejaVu Sans" w:hAnsi="DejaVu Sans" w:cs="DejaVu Sans"/>
                <w:sz w:val="19"/>
                <w:rtl w:val="1"/>
              </w:rPr>
              <w:t>اقدام فراتر از انتظار معمول سمت یا مسئولیت علمی، با توجه به شرح وظایف</w:t>
            </w:r>
          </w:p>
        </w:tc>
        <w:tc>
          <w:tcPr>
            <w:tcW w:type="dxa" w:w="1928"/>
          </w:tcPr>
          <w:p>
            <w:pPr>
              <w:spacing w:line="288" w:lineRule="auto" w:after="80"/>
              <w:jc w:val="right"/>
              <w:bidi w:val="1"/>
            </w:pPr>
            <w:r>
              <w:rPr>
                <w:rFonts w:ascii="DejaVu Sans" w:hAnsi="DejaVu Sans" w:cs="DejaVu Sans"/>
                <w:sz w:val="19"/>
                <w:rtl w:val="1"/>
              </w:rPr>
              <w:t>۱۰</w:t>
            </w:r>
          </w:p>
        </w:tc>
        <w:tc>
          <w:tcPr>
            <w:tcW w:type="dxa" w:w="1928"/>
          </w:tcPr>
          <w:p>
            <w:pPr>
              <w:spacing w:line="288" w:lineRule="auto" w:after="80"/>
              <w:jc w:val="right"/>
              <w:bidi w:val="1"/>
            </w:pPr>
            <w:r>
              <w:rPr>
                <w:rFonts w:ascii="DejaVu Sans" w:hAnsi="DejaVu Sans" w:cs="DejaVu Sans"/>
                <w:sz w:val="19"/>
                <w:rtl w:val="1"/>
              </w:rPr>
              <w:t>فعالیت داوطلبانه و فراتر از وظایف معمول</w:t>
            </w:r>
          </w:p>
        </w:tc>
      </w:tr>
      <w:tr>
        <w:trPr>
          <w:cantSplit/>
        </w:trPr>
        <w:tc>
          <w:tcPr>
            <w:tcW w:type="dxa" w:w="1928"/>
          </w:tcPr>
          <w:p>
            <w:pPr>
              <w:spacing w:line="288" w:lineRule="auto" w:after="80"/>
              <w:jc w:val="right"/>
              <w:bidi w:val="1"/>
            </w:pPr>
            <w:r>
              <w:rPr>
                <w:rFonts w:ascii="DejaVu Sans" w:hAnsi="DejaVu Sans" w:cs="DejaVu Sans"/>
                <w:sz w:val="19"/>
                <w:rtl w:val="1"/>
              </w:rPr>
              <w:t>وزن‌ها ثابت</w:t>
            </w:r>
          </w:p>
        </w:tc>
        <w:tc>
          <w:tcPr>
            <w:tcW w:type="dxa" w:w="1928"/>
          </w:tcPr>
          <w:p>
            <w:pPr>
              <w:spacing w:line="288" w:lineRule="auto" w:after="80"/>
              <w:jc w:val="right"/>
              <w:bidi w:val="1"/>
            </w:pPr>
            <w:r>
              <w:rPr>
                <w:rFonts w:ascii="DejaVu Sans" w:hAnsi="DejaVu Sans" w:cs="DejaVu Sans"/>
                <w:sz w:val="19"/>
                <w:rtl w:val="1"/>
              </w:rPr>
              <w:t>وزن‌ها ثابت</w:t>
            </w:r>
          </w:p>
        </w:tc>
        <w:tc>
          <w:tcPr>
            <w:tcW w:type="dxa" w:w="1928"/>
          </w:tcPr>
          <w:p>
            <w:pPr>
              <w:spacing w:line="288" w:lineRule="auto" w:after="80"/>
              <w:jc w:val="right"/>
              <w:bidi w:val="1"/>
            </w:pPr>
            <w:r>
              <w:rPr>
                <w:rFonts w:ascii="DejaVu Sans" w:hAnsi="DejaVu Sans" w:cs="DejaVu Sans"/>
                <w:sz w:val="19"/>
                <w:rtl w:val="1"/>
              </w:rPr>
              <w:t>وزن‌ها ثابت</w:t>
            </w:r>
          </w:p>
        </w:tc>
        <w:tc>
          <w:tcPr>
            <w:tcW w:type="dxa" w:w="1928"/>
          </w:tcPr>
          <w:p>
            <w:pPr>
              <w:spacing w:line="288" w:lineRule="auto" w:after="80"/>
              <w:jc w:val="right"/>
              <w:bidi w:val="1"/>
            </w:pPr>
            <w:r>
              <w:rPr>
                <w:rFonts w:ascii="DejaVu Sans" w:hAnsi="DejaVu Sans" w:cs="DejaVu Sans"/>
                <w:sz w:val="19"/>
                <w:rtl w:val="1"/>
              </w:rPr>
              <w:t>۱۰۰</w:t>
            </w:r>
          </w:p>
        </w:tc>
        <w:tc>
          <w:tcPr>
            <w:tcW w:type="dxa" w:w="1928"/>
          </w:tcPr>
          <w:p>
            <w:pPr>
              <w:spacing w:line="288" w:lineRule="auto" w:after="80"/>
              <w:jc w:val="right"/>
              <w:bidi w:val="1"/>
            </w:pPr>
            <w:r>
              <w:rPr>
                <w:rFonts w:ascii="DejaVu Sans" w:hAnsi="DejaVu Sans" w:cs="DejaVu Sans"/>
                <w:sz w:val="19"/>
                <w:rtl w:val="1"/>
              </w:rPr>
              <w:t>مجموع</w:t>
            </w:r>
          </w:p>
        </w:tc>
      </w:tr>
    </w:tbl>
    <w:p>
      <w:pPr>
        <w:jc w:val="right"/>
        <w:bidi w:val="1"/>
      </w:pPr>
      <w:r>
        <w:rPr>
          <w:rFonts w:ascii="DejaVu Sans" w:hAnsi="DejaVu Sans" w:cs="DejaVu Sans"/>
          <w:rtl w:val="1"/>
        </w:rPr>
        <w:t>ارزیابی فعالیت فراتر از وظایف معمول باید با شرح مسئولیت یا تکلیف شخص مقایسه شود. انجام دقیق وظیفه عادی ممکن است در اثرگذاری و کیفیت امتیاز بگیرد، اما به‌خودی‌خود فعالیت داوطلبانه نیست. محدودیت فرصت یا منابع، دلیل حذف شایستگی نیست و باید هنگام تفسیر اثر، کیفیت و نقش در نظر گرفته شود. مصرف بیشتر بودجه یا داشتن مخاطب بیشتر، بدون اثبات نتیجه بهتر، امتیاز بالاتر تضمین نمی‌کند.</w:t>
      </w:r>
    </w:p>
    <w:p>
      <w:pPr>
        <w:pStyle w:val="Heading1"/>
        <w:jc w:val="right"/>
        <w:bidi w:val="1"/>
      </w:pPr>
      <w:r>
        <w:rPr>
          <w:rFonts w:ascii="DejaVu Sans" w:hAnsi="DejaVu Sans" w:cs="DejaVu Sans"/>
          <w:rtl w:val="1"/>
        </w:rPr>
        <w:t>۸. راهنمای امتیازدهی صفر تا پنج</w:t>
      </w:r>
    </w:p>
    <w:p>
      <w:pPr>
        <w:jc w:val="right"/>
        <w:bidi w:val="1"/>
      </w:pPr>
      <w:r>
        <w:rPr>
          <w:rFonts w:ascii="DejaVu Sans" w:hAnsi="DejaVu Sans" w:cs="DejaVu Sans"/>
          <w:rtl w:val="1"/>
        </w:rPr>
        <w:t>ارزیاب برای هر معیار یک عدد صحیح از صفر تا پنج همراه دلیل و ارجاع به شواهد ثبت می‌کند. حداقل لازم برای هر سطح در جدول آمده است؛ انتخاب سطح بالاتر نیازمند شواهد همان سطح است. ادعای تأییدنشده در مرحله رفع نقص باقی می‌ماند و به عنوان دستاورد اثبات‌شده امتیاز نمی‌گیرد. واژه‌هایی مانند «گسترده» یا «برجسته» باید با مقایسه، داده یا توضیح قابل بررسی در زمینه همان فعالیت پشتیبانی شوند.</w:t>
      </w:r>
    </w:p>
    <w:tbl>
      <w:tblPr>
        <w:tblStyle w:val="TableGrid"/>
        <w:tblW w:type="auto" w:w="0"/>
        <w:tblLayout w:type="fixed"/>
        <w:tblLook w:firstColumn="1" w:firstRow="1" w:lastColumn="0" w:lastRow="0" w:noHBand="0" w:noVBand="1" w:val="04A0"/>
      </w:tblPr>
      <w:tblGrid>
        <w:gridCol w:w="3213"/>
        <w:gridCol w:w="3213"/>
        <w:gridCol w:w="3213"/>
      </w:tblGrid>
      <w:tr>
        <w:trPr>
          <w:cantSplit/>
          <w:tblHeader/>
        </w:trPr>
        <w:tc>
          <w:tcPr>
            <w:tcW w:type="dxa" w:w="3213"/>
            <w:shd w:fill="EAF0F7"/>
          </w:tcPr>
          <w:p>
            <w:pPr>
              <w:spacing w:line="288" w:lineRule="auto" w:after="80"/>
              <w:jc w:val="right"/>
              <w:bidi w:val="1"/>
            </w:pPr>
            <w:r>
              <w:rPr>
                <w:rFonts w:ascii="DejaVu Sans" w:hAnsi="DejaVu Sans" w:cs="DejaVu Sans"/>
                <w:b/>
                <w:sz w:val="19"/>
                <w:rtl w:val="1"/>
              </w:rPr>
              <w:t>ملاک قابل بررسی برای سطح</w:t>
            </w:r>
          </w:p>
        </w:tc>
        <w:tc>
          <w:tcPr>
            <w:tcW w:type="dxa" w:w="3213"/>
            <w:shd w:fill="EAF0F7"/>
          </w:tcPr>
          <w:p>
            <w:pPr>
              <w:spacing w:line="288" w:lineRule="auto" w:after="80"/>
              <w:jc w:val="right"/>
              <w:bidi w:val="1"/>
            </w:pPr>
            <w:r>
              <w:rPr>
                <w:rFonts w:ascii="DejaVu Sans" w:hAnsi="DejaVu Sans" w:cs="DejaVu Sans"/>
                <w:b/>
                <w:sz w:val="19"/>
                <w:rtl w:val="1"/>
              </w:rPr>
              <w:t>امتیاز</w:t>
            </w:r>
          </w:p>
        </w:tc>
        <w:tc>
          <w:tcPr>
            <w:tcW w:type="dxa" w:w="3213"/>
            <w:shd w:fill="EAF0F7"/>
          </w:tcPr>
          <w:p>
            <w:pPr>
              <w:spacing w:line="288" w:lineRule="auto" w:after="80"/>
              <w:jc w:val="right"/>
              <w:bidi w:val="1"/>
            </w:pPr>
            <w:r>
              <w:rPr>
                <w:rFonts w:ascii="DejaVu Sans" w:hAnsi="DejaVu Sans" w:cs="DejaVu Sans"/>
                <w:b/>
                <w:sz w:val="19"/>
                <w:rtl w:val="1"/>
              </w:rPr>
              <w:t>معیار</w:t>
            </w:r>
          </w:p>
        </w:tc>
      </w:tr>
      <w:tr>
        <w:trPr>
          <w:cantSplit/>
        </w:trPr>
        <w:tc>
          <w:tcPr>
            <w:tcW w:type="dxa" w:w="3213"/>
          </w:tcPr>
          <w:p>
            <w:pPr>
              <w:spacing w:line="288" w:lineRule="auto" w:after="80"/>
              <w:jc w:val="right"/>
              <w:bidi w:val="1"/>
            </w:pPr>
            <w:r>
              <w:rPr>
                <w:rFonts w:ascii="DejaVu Sans" w:hAnsi="DejaVu Sans" w:cs="DejaVu Sans"/>
                <w:sz w:val="19"/>
                <w:rtl w:val="1"/>
              </w:rPr>
              <w:t>اثر مرتبط با هدف طرح، پس از بررسی شواهد، قابل اثبات نیست.</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منفعت محدود و مشخص برای مخاطب یا واحد احراز شده، اما اندازه یا اهمیت تغییر به‌طور کامل مستند نیست.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تغییر مثبت در یک خدمت، گروه یا مسئله مشخص با شاهد پیش و پس از اقدام یا تأیید قابل اتکا نشان داده شده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نتیجه معنادار نسبت به مسئله و هدف فعالیت، همراه شاخص نتیجه و تعریف جامعه بهره‌مند، مستند شده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اثر مهم و پایدار نسبت به خط مبنا یا روش معمول نشان داده شده و دامنه استفاده یا اهمیت حل مسئله فراتر از اجرای محدود اولیه است.</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حل مسئله‌ای اساسی یا ایجاد اثر استثنایی متناسب با جامعه هدف، با شواهد محکم نتیجه و تأیید مستقل یا بررسی تخصصی مستند، احراز شده است. تعداد زیاد مخاطبان به‌تنهایی کافی نیست.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اثرگذاری</w:t>
            </w:r>
          </w:p>
        </w:tc>
      </w:tr>
      <w:tr>
        <w:trPr>
          <w:cantSplit/>
        </w:trPr>
        <w:tc>
          <w:tcPr>
            <w:tcW w:type="dxa" w:w="3213"/>
          </w:tcPr>
          <w:p>
            <w:pPr>
              <w:spacing w:line="288" w:lineRule="auto" w:after="80"/>
              <w:jc w:val="right"/>
              <w:bidi w:val="1"/>
            </w:pPr>
            <w:r>
              <w:rPr>
                <w:rFonts w:ascii="DejaVu Sans" w:hAnsi="DejaVu Sans" w:cs="DejaVu Sans"/>
                <w:sz w:val="19"/>
                <w:rtl w:val="1"/>
              </w:rPr>
              <w:t>خروجی مرتبط قابل بررسی یا نتیجه قابل استفاده وجود ندارد.</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خروجی اولیه قابل بررسی وجود دارد، اما نتیجه محدود است یا کاستی‌های مهم آن رفع نشده است.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خروجی اجرا یا استفاده شده و بخشی از نتیجه مورد انتظار با کنترل کیفیت پایه احراز شده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نتیجه اصلی مورد انتظار و کیفیت مناسب خروجی بر اساس آزمون، تأیید تخصصی یا بازخورد معتبر احراز شده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کیفیت و قابلیت اتکا به‌طور مستند از خط مبنا یا استاندارد متعارف فعالیت بالاتر است و کاستی‌های مهم مدیریت شده‌اند.</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خروجی با کیفیت ممتاز و نتیجه قابل تکرار یا بهره‌برداری پایدار، در مقایسه مستند با نمونه یا انتظار تخصصی، احراز شده است.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کیفیت و نتایج</w:t>
            </w:r>
          </w:p>
        </w:tc>
      </w:tr>
      <w:tr>
        <w:trPr>
          <w:cantSplit/>
        </w:trPr>
        <w:tc>
          <w:tcPr>
            <w:tcW w:type="dxa" w:w="3213"/>
          </w:tcPr>
          <w:p>
            <w:pPr>
              <w:spacing w:line="288" w:lineRule="auto" w:after="80"/>
              <w:jc w:val="right"/>
              <w:bidi w:val="1"/>
            </w:pPr>
            <w:r>
              <w:rPr>
                <w:rFonts w:ascii="DejaVu Sans" w:hAnsi="DejaVu Sans" w:cs="DejaVu Sans"/>
                <w:sz w:val="19"/>
                <w:rtl w:val="1"/>
              </w:rPr>
              <w:t>اقدام صرفاً تکرار روش متعارف است و بهبود خلاقانه قابل اثباتی ندارد.</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سازگارسازی جزئی روش موجود برای نیاز مشخص، همراه توضیح تغییر، انجام شده است.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ترکیب یا بهبود روش موجود اجرا شده و مزیت آن نسبت به روش قبلی قابل بررسی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راه‌حل تازه متناسب با زمینه فعالیت اجرا شده و تفاوت و نتیجه آن مستند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راه‌حل متمایز، مسئله‌ای دشوار را با مزیت روشن نسبت به گزینه‌های معمول حل کرده و قابلیت انتقال آن بررسی شده است.</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نوآوری برجسته نسبت به زمینه تخصصی یا سازمانی، با مقایسه معتبر و شواهد کاربرد یا انتقال موفق، احراز شده است؛ صرف ثبت اختراع یا استفاده از فناوری روز کافی نیست.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خلاقیت و نوآوری</w:t>
            </w:r>
          </w:p>
        </w:tc>
      </w:tr>
      <w:tr>
        <w:trPr>
          <w:cantSplit/>
        </w:trPr>
        <w:tc>
          <w:tcPr>
            <w:tcW w:type="dxa" w:w="3213"/>
          </w:tcPr>
          <w:p>
            <w:pPr>
              <w:spacing w:line="288" w:lineRule="auto" w:after="80"/>
              <w:jc w:val="right"/>
              <w:bidi w:val="1"/>
            </w:pPr>
            <w:r>
              <w:rPr>
                <w:rFonts w:ascii="DejaVu Sans" w:hAnsi="DejaVu Sans" w:cs="DejaVu Sans"/>
                <w:sz w:val="19"/>
                <w:rtl w:val="1"/>
              </w:rPr>
              <w:t>سهم شخص در فعالیت احراز نمی‌شود یا صرفاً نام او در فهرست همراهان آمده است.</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همکاری محدود با وظیفه مشخص و قابل تأیید انجام شده است.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مسئولیت یک بخش روشن از فعالیت بر عهده شخص بوده و خروجی همان بخش قابل بررسی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مشارکت مؤثر در بخش کلیدی، همراه پاسخ‌گویی و پیگیری وظایف، با شواهد نقش و تأیید مرتبط احراز شده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نقش تعیین‌کننده در حل مانع، هماهنگی یا تکمیل نتیجه احراز شده و سهم سایر افراد نیز منصفانه تفکیک شده است.</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نقش محوری و مستند در دستیابی به نتیجه، با مسئولیت‌پذیری ممتاز و شواهد روشن انتساب، احراز شده است. مدیریت دیگران یا داشتن عنوان ارشد شرط این سطح نیست.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مشارکت و نقش مؤثر</w:t>
            </w:r>
          </w:p>
        </w:tc>
      </w:tr>
      <w:tr>
        <w:trPr>
          <w:cantSplit/>
        </w:trPr>
        <w:tc>
          <w:tcPr>
            <w:tcW w:type="dxa" w:w="3213"/>
          </w:tcPr>
          <w:p>
            <w:pPr>
              <w:spacing w:line="288" w:lineRule="auto" w:after="80"/>
              <w:jc w:val="right"/>
              <w:bidi w:val="1"/>
            </w:pPr>
            <w:r>
              <w:rPr>
                <w:rFonts w:ascii="DejaVu Sans" w:hAnsi="DejaVu Sans" w:cs="DejaVu Sans"/>
                <w:sz w:val="19"/>
                <w:rtl w:val="1"/>
              </w:rPr>
              <w:t>فقط ادعای شروع فعالیت وجود دارد و پیگیری یا تکمیل قابل بررسی نیست.</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یک اقدام کامل یا یک مرحله مشخص انجام شده، ولی شواهد پیگیری بعدی محدود است.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چند اقدام پیوسته یا پیگیری مشخص برای تکمیل و رفع مشکل مستند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فعالیت در بازه متناسب با ماهیت آن پیگیری شده و ارزیابی یا اصلاح نتیجه انجام گرفته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تداوم اثر و بهبود منظم، یا تحویل موفق به مسئول بعدی و پایش نتیجه، با شواهد تاریخ‌دار احراز شده است.</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دستاورد به سازوکار پایدار یا الگوی قابل ادامه تبدیل شده و دوام اثر یا انتقال مسئولانه آن در بازه کافی مستند است. طولانی بودن سابقه به‌تنهایی کافی نیست.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استمرار و پیگیری</w:t>
            </w:r>
          </w:p>
        </w:tc>
      </w:tr>
      <w:tr>
        <w:trPr>
          <w:cantSplit/>
        </w:trPr>
        <w:tc>
          <w:tcPr>
            <w:tcW w:type="dxa" w:w="3213"/>
          </w:tcPr>
          <w:p>
            <w:pPr>
              <w:spacing w:line="288" w:lineRule="auto" w:after="80"/>
              <w:jc w:val="right"/>
              <w:bidi w:val="1"/>
            </w:pPr>
            <w:r>
              <w:rPr>
                <w:rFonts w:ascii="DejaVu Sans" w:hAnsi="DejaVu Sans" w:cs="DejaVu Sans"/>
                <w:sz w:val="19"/>
                <w:rtl w:val="1"/>
              </w:rPr>
              <w:t>اقدام در حدود وظیفه یا تکلیف معمول است و فعالیت فراتر از آن احراز نمی‌شود.</w:t>
            </w:r>
          </w:p>
        </w:tc>
        <w:tc>
          <w:tcPr>
            <w:tcW w:type="dxa" w:w="3213"/>
          </w:tcPr>
          <w:p>
            <w:pPr>
              <w:spacing w:line="288" w:lineRule="auto" w:after="80"/>
              <w:jc w:val="right"/>
              <w:bidi w:val="1"/>
            </w:pPr>
            <w:r>
              <w:rPr>
                <w:rFonts w:ascii="DejaVu Sans" w:hAnsi="DejaVu Sans" w:cs="DejaVu Sans"/>
                <w:sz w:val="19"/>
                <w:rtl w:val="1"/>
              </w:rPr>
              <w:t>۰</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r>
        <w:trPr>
          <w:cantSplit/>
        </w:trPr>
        <w:tc>
          <w:tcPr>
            <w:tcW w:type="dxa" w:w="3213"/>
          </w:tcPr>
          <w:p>
            <w:pPr>
              <w:spacing w:line="288" w:lineRule="auto" w:after="80"/>
              <w:jc w:val="right"/>
              <w:bidi w:val="1"/>
            </w:pPr>
            <w:r>
              <w:rPr>
                <w:rFonts w:ascii="DejaVu Sans" w:hAnsi="DejaVu Sans" w:cs="DejaVu Sans"/>
                <w:sz w:val="19"/>
                <w:rtl w:val="1"/>
              </w:rPr>
              <w:t>همراهی اختیاری محدود برای رفع نیازی مشخص، خارج از انتظار معمول مسئولیت، مستند است.</w:t>
            </w:r>
          </w:p>
        </w:tc>
        <w:tc>
          <w:tcPr>
            <w:tcW w:type="dxa" w:w="3213"/>
          </w:tcPr>
          <w:p>
            <w:pPr>
              <w:spacing w:line="288" w:lineRule="auto" w:after="80"/>
              <w:jc w:val="right"/>
              <w:bidi w:val="1"/>
            </w:pPr>
            <w:r>
              <w:rPr>
                <w:rFonts w:ascii="DejaVu Sans" w:hAnsi="DejaVu Sans" w:cs="DejaVu Sans"/>
                <w:sz w:val="19"/>
                <w:rtl w:val="1"/>
              </w:rPr>
              <w:t>۱</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r>
        <w:trPr>
          <w:cantSplit/>
        </w:trPr>
        <w:tc>
          <w:tcPr>
            <w:tcW w:type="dxa" w:w="3213"/>
          </w:tcPr>
          <w:p>
            <w:pPr>
              <w:spacing w:line="288" w:lineRule="auto" w:after="80"/>
              <w:jc w:val="right"/>
              <w:bidi w:val="1"/>
            </w:pPr>
            <w:r>
              <w:rPr>
                <w:rFonts w:ascii="DejaVu Sans" w:hAnsi="DejaVu Sans" w:cs="DejaVu Sans"/>
                <w:sz w:val="19"/>
                <w:rtl w:val="1"/>
              </w:rPr>
              <w:t>اقدام اختیاری مؤثر با نقش و نتیجه روشن، فراتر از مسئولیت معمول، احراز شده است.</w:t>
            </w:r>
          </w:p>
        </w:tc>
        <w:tc>
          <w:tcPr>
            <w:tcW w:type="dxa" w:w="3213"/>
          </w:tcPr>
          <w:p>
            <w:pPr>
              <w:spacing w:line="288" w:lineRule="auto" w:after="80"/>
              <w:jc w:val="right"/>
              <w:bidi w:val="1"/>
            </w:pPr>
            <w:r>
              <w:rPr>
                <w:rFonts w:ascii="DejaVu Sans" w:hAnsi="DejaVu Sans" w:cs="DejaVu Sans"/>
                <w:sz w:val="19"/>
                <w:rtl w:val="1"/>
              </w:rPr>
              <w:t>۲</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r>
        <w:trPr>
          <w:cantSplit/>
        </w:trPr>
        <w:tc>
          <w:tcPr>
            <w:tcW w:type="dxa" w:w="3213"/>
          </w:tcPr>
          <w:p>
            <w:pPr>
              <w:spacing w:line="288" w:lineRule="auto" w:after="80"/>
              <w:jc w:val="right"/>
              <w:bidi w:val="1"/>
            </w:pPr>
            <w:r>
              <w:rPr>
                <w:rFonts w:ascii="DejaVu Sans" w:hAnsi="DejaVu Sans" w:cs="DejaVu Sans"/>
                <w:sz w:val="19"/>
                <w:rtl w:val="1"/>
              </w:rPr>
              <w:t>مسئولیت اضافی معنادار یا مشارکت داوطلبانه پیوسته با منفعت مشخص برای جامعه هدف مستند است.</w:t>
            </w:r>
          </w:p>
        </w:tc>
        <w:tc>
          <w:tcPr>
            <w:tcW w:type="dxa" w:w="3213"/>
          </w:tcPr>
          <w:p>
            <w:pPr>
              <w:spacing w:line="288" w:lineRule="auto" w:after="80"/>
              <w:jc w:val="right"/>
              <w:bidi w:val="1"/>
            </w:pPr>
            <w:r>
              <w:rPr>
                <w:rFonts w:ascii="DejaVu Sans" w:hAnsi="DejaVu Sans" w:cs="DejaVu Sans"/>
                <w:sz w:val="19"/>
                <w:rtl w:val="1"/>
              </w:rPr>
              <w:t>۳</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r>
        <w:trPr>
          <w:cantSplit/>
        </w:trPr>
        <w:tc>
          <w:tcPr>
            <w:tcW w:type="dxa" w:w="3213"/>
          </w:tcPr>
          <w:p>
            <w:pPr>
              <w:spacing w:line="288" w:lineRule="auto" w:after="80"/>
              <w:jc w:val="right"/>
              <w:bidi w:val="1"/>
            </w:pPr>
            <w:r>
              <w:rPr>
                <w:rFonts w:ascii="DejaVu Sans" w:hAnsi="DejaVu Sans" w:cs="DejaVu Sans"/>
                <w:sz w:val="19"/>
                <w:rtl w:val="1"/>
              </w:rPr>
              <w:t>اقدام فراتر از وظیفه در رفع نیاز مهم یا همراه کردن دیگران با مشارکت داوطلبانه مؤثر نقش داشته است.</w:t>
            </w:r>
          </w:p>
        </w:tc>
        <w:tc>
          <w:tcPr>
            <w:tcW w:type="dxa" w:w="3213"/>
          </w:tcPr>
          <w:p>
            <w:pPr>
              <w:spacing w:line="288" w:lineRule="auto" w:after="80"/>
              <w:jc w:val="right"/>
              <w:bidi w:val="1"/>
            </w:pPr>
            <w:r>
              <w:rPr>
                <w:rFonts w:ascii="DejaVu Sans" w:hAnsi="DejaVu Sans" w:cs="DejaVu Sans"/>
                <w:sz w:val="19"/>
                <w:rtl w:val="1"/>
              </w:rPr>
              <w:t>۴</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r>
        <w:trPr>
          <w:cantSplit/>
        </w:trPr>
        <w:tc>
          <w:tcPr>
            <w:tcW w:type="dxa" w:w="3213"/>
          </w:tcPr>
          <w:p>
            <w:pPr>
              <w:spacing w:line="288" w:lineRule="auto" w:after="80"/>
              <w:jc w:val="right"/>
              <w:bidi w:val="1"/>
            </w:pPr>
            <w:r>
              <w:rPr>
                <w:rFonts w:ascii="DejaVu Sans" w:hAnsi="DejaVu Sans" w:cs="DejaVu Sans"/>
                <w:sz w:val="19"/>
                <w:rtl w:val="1"/>
              </w:rPr>
              <w:t>خدمت یا مشارکت داوطلبانه برجسته، مسئولانه و دارای نتیجه پایدار احراز شده است؛ اضافه‌کاری، ساعات حضور یا دریافت نکردن دستمزد به‌تنهایی دلیل این سطح نیست.</w:t>
            </w:r>
          </w:p>
        </w:tc>
        <w:tc>
          <w:tcPr>
            <w:tcW w:type="dxa" w:w="3213"/>
          </w:tcPr>
          <w:p>
            <w:pPr>
              <w:spacing w:line="288" w:lineRule="auto" w:after="80"/>
              <w:jc w:val="right"/>
              <w:bidi w:val="1"/>
            </w:pPr>
            <w:r>
              <w:rPr>
                <w:rFonts w:ascii="DejaVu Sans" w:hAnsi="DejaVu Sans" w:cs="DejaVu Sans"/>
                <w:sz w:val="19"/>
                <w:rtl w:val="1"/>
              </w:rPr>
              <w:t>۵</w:t>
            </w:r>
          </w:p>
        </w:tc>
        <w:tc>
          <w:tcPr>
            <w:tcW w:type="dxa" w:w="3213"/>
          </w:tcPr>
          <w:p>
            <w:pPr>
              <w:spacing w:line="288" w:lineRule="auto" w:after="80"/>
              <w:jc w:val="right"/>
              <w:bidi w:val="1"/>
            </w:pPr>
            <w:r>
              <w:rPr>
                <w:rFonts w:ascii="DejaVu Sans" w:hAnsi="DejaVu Sans" w:cs="DejaVu Sans"/>
                <w:sz w:val="19"/>
                <w:rtl w:val="1"/>
              </w:rPr>
              <w:t>داوطلبانه و فراتر از وظیفه</w:t>
            </w:r>
          </w:p>
        </w:tc>
      </w:tr>
    </w:tbl>
    <w:p>
      <w:pPr>
        <w:jc w:val="right"/>
        <w:bidi w:val="1"/>
      </w:pPr>
      <w:r>
        <w:rPr>
          <w:rFonts w:ascii="DejaVu Sans" w:hAnsi="DejaVu Sans" w:cs="DejaVu Sans"/>
          <w:rtl w:val="1"/>
        </w:rPr>
        <w:t>برای مقایسه‌های کمی، ارزیاب باید شاخص و خط مبنا را بنویسد: مانند زمان پاسخ، نرخ خطا، رضایت با روش نمونه‌گیری مشخص، نتیجه یادگیری، تعداد استفاده‌کنندگان با تعریف روشن، کاهش ریسک یا میزان استفاده از خروجی پژوهشی. داده کیفی نیز در صورت روش و مرجع روشن قابل استناد است. همه مسیرها به نتیجه اقتصادی یا تولید مقاله و اختراع ملزم نیستند.</w:t>
      </w:r>
    </w:p>
    <w:p>
      <w:pPr>
        <w:pStyle w:val="Heading1"/>
        <w:jc w:val="right"/>
        <w:bidi w:val="1"/>
      </w:pPr>
      <w:r>
        <w:rPr>
          <w:rFonts w:ascii="DejaVu Sans" w:hAnsi="DejaVu Sans" w:cs="DejaVu Sans"/>
          <w:rtl w:val="1"/>
        </w:rPr>
        <w:t>۹. محاسبه امتیاز  ارزیابی تخصصی و کنترل اختلاف</w:t>
      </w:r>
    </w:p>
    <w:p>
      <w:pPr>
        <w:jc w:val="right"/>
        <w:bidi w:val="1"/>
      </w:pPr>
      <w:r>
        <w:rPr>
          <w:rFonts w:ascii="DejaVu Sans" w:hAnsi="DejaVu Sans" w:cs="DejaVu Sans"/>
          <w:rtl w:val="1"/>
        </w:rPr>
        <w:t>سهم هر معیار از حاصل‌ضرب وزن آن در نمره صفر تا پنج، تقسیم بر پنج، محاسبه می‌شود. امتیاز کل برابر مجموع سهم شش معیار و در بازه صفر تا صد است. برای نمونه نمره‌های «۴، ۴، ۳، ۵، ۴، ۳» به‌ترتیب معیارهای جدول، سهم‌های «۲۴، ۱۶، ۹، ۱۵، ۸، ۶» و مجموع ۷۸ از ۱۰۰ دارند. وزن‌ها برای همه مسیرها همان «۳۰، ۲۰، ۱۵، ۱۵، ۱۰، ۱۰» هستند. نمره صفر در یک معیار، وزن آن را حذف یا بین معیارهای دیگر توزیع نمی‌کند؛ هیچ مسیر یا پرونده‌ای با مخرج متفاوت ارزیابی نمی‌شود.</w:t>
      </w:r>
    </w:p>
    <w:p>
      <w:pPr>
        <w:jc w:val="right"/>
        <w:bidi w:val="1"/>
      </w:pPr>
      <w:r>
        <w:rPr>
          <w:rFonts w:ascii="DejaVu Sans" w:hAnsi="DejaVu Sans" w:cs="DejaVu Sans"/>
          <w:rtl w:val="1"/>
        </w:rPr>
        <w:t>در مدل پیشنهادی چندارزیاب، نمره هر معیار میانگین نمره‌های کامل ارزیابان واجد صلاحیت و بدون تعارض است؛ سپس وزن‌ها اعمال می‌شوند. میانگین می‌تواند اعشاری باشد، اما خود هر ارزیاب از مقیاس صحیح صفر تا پنج استفاده می‌کند. خودامتیازی نامزد در میانگین داوری وارد نمی‌شود. پرونده بدون شش نمره، دلایل مرتبط و بررسی شواهد، «ارزیابی کامل» محسوب نمی‌شود و نتیجه قطعی دریافت نمی‌کند.</w:t>
      </w:r>
    </w:p>
    <w:p>
      <w:pPr>
        <w:jc w:val="right"/>
        <w:bidi w:val="1"/>
      </w:pPr>
      <w:r>
        <w:rPr>
          <w:rFonts w:ascii="DejaVu Sans" w:hAnsi="DejaVu Sans" w:cs="DejaVu Sans"/>
          <w:rtl w:val="1"/>
        </w:rPr>
        <w:t>اختلاف چشمگیر باید با رجوع به شاهد و تفسیر معیار در کمیته تخصصی بررسی شود. اگر نمره اصلاح می‌شود، نمره قبلی، نمره تازه، دلیل، شخص تصمیم‌گیر و زمان تغییر محفوظ می‌ماند؛ اختلاف با تغییر پنهانی وزن یا اعطای امتیاز اضافی حل نمی‌شود. ورود ارزیاب جایگزین به دلیل تعارض یا ناتمام ماندن بررسی نیز باید ثبت شود.</w:t>
      </w:r>
    </w:p>
    <w:p>
      <w:pPr>
        <w:jc w:val="right"/>
        <w:bidi w:val="1"/>
      </w:pPr>
      <w:r>
        <w:rPr>
          <w:rFonts w:ascii="DejaVu Sans" w:hAnsi="DejaVu Sans" w:cs="DejaVu Sans"/>
          <w:rtl w:val="1"/>
        </w:rPr>
        <w:t>پیشنهاد این پیش‌نویس استفاده از دقت اصلی محاسبه برای حدنصاب و رتبه‌بندی و نمایش حداکثر دو رقم اعشار است؛ گرد کردن نمایش نباید به عبور مصنوعی از حدنصاب تبدیل شود. امتیاز و گزارش کمیته تخصصی برای تأیید نهایی ارسال می‌شود. سامانه می‌تواند «سطح پیشنهادی بر اساس امتیاز» را نشان دهد، اما تنها پس از تصمیم کمیته نهایی، نتیجه «تأییدشده» خواهد بود.</w:t>
      </w:r>
    </w:p>
    <w:p>
      <w:pPr>
        <w:pStyle w:val="Heading1"/>
        <w:jc w:val="right"/>
        <w:bidi w:val="1"/>
      </w:pPr>
      <w:r>
        <w:rPr>
          <w:rFonts w:ascii="DejaVu Sans" w:hAnsi="DejaVu Sans" w:cs="DejaVu Sans"/>
          <w:rtl w:val="1"/>
        </w:rPr>
        <w:t>۱۰. سطوح تقدیر  ظرفیت و ترتیب اولویت</w:t>
      </w:r>
    </w:p>
    <w:p>
      <w:pPr>
        <w:jc w:val="right"/>
        <w:bidi w:val="1"/>
      </w:pPr>
      <w:r>
        <w:rPr>
          <w:rFonts w:ascii="DejaVu Sans" w:hAnsi="DejaVu Sans" w:cs="DejaVu Sans"/>
          <w:rtl w:val="1"/>
        </w:rPr>
        <w:t>این پیش‌نویس سه سطح زیر را برای تنظیم در هر دوره پیشنهاد می‌کند. نام سطح و حدنصاب‌ها پیشنهادی‌اند؛ عدد ۷۰ در طرح اصلی نیز به‌صورت مثال آمده و اعداد ۸۵ و ۹۵ پیشنهاد تکمیلی این سند هستند. تا پیش از تصویب و انتشار فراخوان، هیچ‌یک عنوان رسمی یا حق قطعی دریافت جایزه ایجاد نمی‌کنند.</w:t>
      </w:r>
    </w:p>
    <w:tbl>
      <w:tblPr>
        <w:tblStyle w:val="TableGrid"/>
        <w:tblW w:type="auto" w:w="0"/>
        <w:tblLayout w:type="fixed"/>
        <w:tblLook w:firstColumn="1" w:firstRow="1" w:lastColumn="0" w:lastRow="0" w:noHBand="0" w:noVBand="1" w:val="04A0"/>
      </w:tblPr>
      <w:tblGrid>
        <w:gridCol w:w="3213"/>
        <w:gridCol w:w="3213"/>
        <w:gridCol w:w="3213"/>
      </w:tblGrid>
      <w:tr>
        <w:trPr>
          <w:cantSplit/>
          <w:tblHeader/>
        </w:trPr>
        <w:tc>
          <w:tcPr>
            <w:tcW w:type="dxa" w:w="3213"/>
            <w:shd w:fill="EAF0F7"/>
          </w:tcPr>
          <w:p>
            <w:pPr>
              <w:spacing w:line="288" w:lineRule="auto" w:after="80"/>
              <w:jc w:val="right"/>
              <w:bidi w:val="1"/>
            </w:pPr>
            <w:r>
              <w:rPr>
                <w:rFonts w:ascii="DejaVu Sans" w:hAnsi="DejaVu Sans" w:cs="DejaVu Sans"/>
                <w:b/>
                <w:sz w:val="19"/>
                <w:rtl w:val="1"/>
              </w:rPr>
              <w:t>مفهوم در این پیش‌نویس</w:t>
            </w:r>
          </w:p>
        </w:tc>
        <w:tc>
          <w:tcPr>
            <w:tcW w:type="dxa" w:w="3213"/>
            <w:shd w:fill="EAF0F7"/>
          </w:tcPr>
          <w:p>
            <w:pPr>
              <w:spacing w:line="288" w:lineRule="auto" w:after="80"/>
              <w:jc w:val="right"/>
              <w:bidi w:val="1"/>
            </w:pPr>
            <w:r>
              <w:rPr>
                <w:rFonts w:ascii="DejaVu Sans" w:hAnsi="DejaVu Sans" w:cs="DejaVu Sans"/>
                <w:b/>
                <w:sz w:val="19"/>
                <w:rtl w:val="1"/>
              </w:rPr>
              <w:t>حدنصاب پیشنهادی</w:t>
            </w:r>
          </w:p>
        </w:tc>
        <w:tc>
          <w:tcPr>
            <w:tcW w:type="dxa" w:w="3213"/>
            <w:shd w:fill="EAF0F7"/>
          </w:tcPr>
          <w:p>
            <w:pPr>
              <w:spacing w:line="288" w:lineRule="auto" w:after="80"/>
              <w:jc w:val="right"/>
              <w:bidi w:val="1"/>
            </w:pPr>
            <w:r>
              <w:rPr>
                <w:rFonts w:ascii="DejaVu Sans" w:hAnsi="DejaVu Sans" w:cs="DejaVu Sans"/>
                <w:b/>
                <w:sz w:val="19"/>
                <w:rtl w:val="1"/>
              </w:rPr>
              <w:t>عنوان پیشنهادی</w:t>
            </w:r>
          </w:p>
        </w:tc>
      </w:tr>
      <w:tr>
        <w:trPr>
          <w:cantSplit/>
        </w:trPr>
        <w:tc>
          <w:tcPr>
            <w:tcW w:type="dxa" w:w="3213"/>
          </w:tcPr>
          <w:p>
            <w:pPr>
              <w:spacing w:line="288" w:lineRule="auto" w:after="80"/>
              <w:jc w:val="right"/>
              <w:bidi w:val="1"/>
            </w:pPr>
            <w:r>
              <w:rPr>
                <w:rFonts w:ascii="DejaVu Sans" w:hAnsi="DejaVu Sans" w:cs="DejaVu Sans"/>
                <w:sz w:val="19"/>
                <w:rtl w:val="1"/>
              </w:rPr>
              <w:t>عملکرد اثرگذار و مستند، واجد بررسی نهایی برای تقدیر</w:t>
            </w:r>
          </w:p>
        </w:tc>
        <w:tc>
          <w:tcPr>
            <w:tcW w:type="dxa" w:w="3213"/>
          </w:tcPr>
          <w:p>
            <w:pPr>
              <w:spacing w:line="288" w:lineRule="auto" w:after="80"/>
              <w:jc w:val="right"/>
              <w:bidi w:val="1"/>
            </w:pPr>
            <w:r>
              <w:rPr>
                <w:rFonts w:ascii="DejaVu Sans" w:hAnsi="DejaVu Sans" w:cs="DejaVu Sans"/>
                <w:sz w:val="19"/>
                <w:rtl w:val="1"/>
              </w:rPr>
              <w:t>از ۷۰ تا کمتر از ۸۵</w:t>
            </w:r>
          </w:p>
        </w:tc>
        <w:tc>
          <w:tcPr>
            <w:tcW w:type="dxa" w:w="3213"/>
          </w:tcPr>
          <w:p>
            <w:pPr>
              <w:spacing w:line="288" w:lineRule="auto" w:after="80"/>
              <w:jc w:val="right"/>
              <w:bidi w:val="1"/>
            </w:pPr>
            <w:r>
              <w:rPr>
                <w:rFonts w:ascii="DejaVu Sans" w:hAnsi="DejaVu Sans" w:cs="DejaVu Sans"/>
                <w:sz w:val="19"/>
                <w:rtl w:val="1"/>
              </w:rPr>
              <w:t>شایسته تقدیر</w:t>
            </w:r>
          </w:p>
        </w:tc>
      </w:tr>
      <w:tr>
        <w:trPr>
          <w:cantSplit/>
        </w:trPr>
        <w:tc>
          <w:tcPr>
            <w:tcW w:type="dxa" w:w="3213"/>
          </w:tcPr>
          <w:p>
            <w:pPr>
              <w:spacing w:line="288" w:lineRule="auto" w:after="80"/>
              <w:jc w:val="right"/>
              <w:bidi w:val="1"/>
            </w:pPr>
            <w:r>
              <w:rPr>
                <w:rFonts w:ascii="DejaVu Sans" w:hAnsi="DejaVu Sans" w:cs="DejaVu Sans"/>
                <w:sz w:val="19"/>
                <w:rtl w:val="1"/>
              </w:rPr>
              <w:t>عملکرد برجسته در چند معیار و شایستگی سطح بالاتر تقدیر پس از تأیید</w:t>
            </w:r>
          </w:p>
        </w:tc>
        <w:tc>
          <w:tcPr>
            <w:tcW w:type="dxa" w:w="3213"/>
          </w:tcPr>
          <w:p>
            <w:pPr>
              <w:spacing w:line="288" w:lineRule="auto" w:after="80"/>
              <w:jc w:val="right"/>
              <w:bidi w:val="1"/>
            </w:pPr>
            <w:r>
              <w:rPr>
                <w:rFonts w:ascii="DejaVu Sans" w:hAnsi="DejaVu Sans" w:cs="DejaVu Sans"/>
                <w:sz w:val="19"/>
                <w:rtl w:val="1"/>
              </w:rPr>
              <w:t>از ۸۵ تا کمتر از ۹۵</w:t>
            </w:r>
          </w:p>
        </w:tc>
        <w:tc>
          <w:tcPr>
            <w:tcW w:type="dxa" w:w="3213"/>
          </w:tcPr>
          <w:p>
            <w:pPr>
              <w:spacing w:line="288" w:lineRule="auto" w:after="80"/>
              <w:jc w:val="right"/>
              <w:bidi w:val="1"/>
            </w:pPr>
            <w:r>
              <w:rPr>
                <w:rFonts w:ascii="DejaVu Sans" w:hAnsi="DejaVu Sans" w:cs="DejaVu Sans"/>
                <w:sz w:val="19"/>
                <w:rtl w:val="1"/>
              </w:rPr>
              <w:t>برگزیده ممتاز</w:t>
            </w:r>
          </w:p>
        </w:tc>
      </w:tr>
      <w:tr>
        <w:trPr>
          <w:cantSplit/>
        </w:trPr>
        <w:tc>
          <w:tcPr>
            <w:tcW w:type="dxa" w:w="3213"/>
          </w:tcPr>
          <w:p>
            <w:pPr>
              <w:spacing w:line="288" w:lineRule="auto" w:after="80"/>
              <w:jc w:val="right"/>
              <w:bidi w:val="1"/>
            </w:pPr>
            <w:r>
              <w:rPr>
                <w:rFonts w:ascii="DejaVu Sans" w:hAnsi="DejaVu Sans" w:cs="DejaVu Sans"/>
                <w:sz w:val="19"/>
                <w:rtl w:val="1"/>
              </w:rPr>
              <w:t>عملکرد استثنایی و مستند، با احراز نهایی کمیته</w:t>
            </w:r>
          </w:p>
        </w:tc>
        <w:tc>
          <w:tcPr>
            <w:tcW w:type="dxa" w:w="3213"/>
          </w:tcPr>
          <w:p>
            <w:pPr>
              <w:spacing w:line="288" w:lineRule="auto" w:after="80"/>
              <w:jc w:val="right"/>
              <w:bidi w:val="1"/>
            </w:pPr>
            <w:r>
              <w:rPr>
                <w:rFonts w:ascii="DejaVu Sans" w:hAnsi="DejaVu Sans" w:cs="DejaVu Sans"/>
                <w:sz w:val="19"/>
                <w:rtl w:val="1"/>
              </w:rPr>
              <w:t>از ۹۵ تا ۱۰۰</w:t>
            </w:r>
          </w:p>
        </w:tc>
        <w:tc>
          <w:tcPr>
            <w:tcW w:type="dxa" w:w="3213"/>
          </w:tcPr>
          <w:p>
            <w:pPr>
              <w:spacing w:line="288" w:lineRule="auto" w:after="80"/>
              <w:jc w:val="right"/>
              <w:bidi w:val="1"/>
            </w:pPr>
            <w:r>
              <w:rPr>
                <w:rFonts w:ascii="DejaVu Sans" w:hAnsi="DejaVu Sans" w:cs="DejaVu Sans"/>
                <w:sz w:val="19"/>
                <w:rtl w:val="1"/>
              </w:rPr>
              <w:t>برگزیده شاخص</w:t>
            </w:r>
          </w:p>
        </w:tc>
      </w:tr>
    </w:tbl>
    <w:p>
      <w:pPr>
        <w:jc w:val="right"/>
        <w:bidi w:val="1"/>
      </w:pPr>
      <w:r>
        <w:rPr>
          <w:rFonts w:ascii="DejaVu Sans" w:hAnsi="DejaVu Sans" w:cs="DejaVu Sans"/>
          <w:rtl w:val="1"/>
        </w:rPr>
        <w:t>کمتر از حدنصاب نخست به معنی انتخاب در فهرست تقدیر این دوره نیست؛ نامزد می‌تواند بازخورد بگیرد و فعالیت‌های تازه را در دوره بعد ثبت کند. حدنصاب‌ها باید افزایشی، روشن و در بازه صد امتیازی باشند. تغییر آن‌ها فقط برای دوره‌ای با قواعد تازه و پیش از فراخوان آن دوره انجام می‌شود.</w:t>
      </w:r>
    </w:p>
    <w:p>
      <w:pPr>
        <w:jc w:val="right"/>
        <w:bidi w:val="1"/>
      </w:pPr>
      <w:r>
        <w:rPr>
          <w:rFonts w:ascii="DejaVu Sans" w:hAnsi="DejaVu Sans" w:cs="DejaVu Sans"/>
          <w:rtl w:val="1"/>
        </w:rPr>
        <w:t>مطابق پیشنهاد طرح، شایستگی بر اساس حدنصاب بررسی می‌شود و تعداد منتخبین صرفاً با یک عدد ثابت مانند «ده نفر برتر» محدود نمی‌شود. با این حال، سیاست ظرفیت و نوع تقدیر باید پیشاپیش اعلام و در تصمیم نهایی رعایت شود. گذر از حدنصاب به‌تنهایی وعده قطعی جایزه یا جبران مالی نیست. تقدیرنامه، معرفی در رسانه‌های رسمی دانشگاه، عنوان یا نشان، یا سایر اشکال تقدیر فقط در حدودی که جداگانه تصویب و در فراخوان اعلام شده‌اند قابل ارائه خواهند بود؛ مبلغ، اعتبار یا مزیت مشخصی در این پیش‌نویس تعهد نشده است.</w:t>
      </w:r>
    </w:p>
    <w:p>
      <w:pPr>
        <w:jc w:val="right"/>
        <w:bidi w:val="1"/>
      </w:pPr>
      <w:r>
        <w:rPr>
          <w:rFonts w:ascii="DejaVu Sans" w:hAnsi="DejaVu Sans" w:cs="DejaVu Sans"/>
          <w:rtl w:val="1"/>
        </w:rPr>
        <w:t>در تساوی امتیاز کل، ابتدا میزان اثرگذاری و سپس کیفیت و نتایج اولویت دارد. این ترتیب دقیقاً از طرح اصلی گرفته شده است. رتبه اداری، تعداد معرفی‌ها، زمان زودتر ثبت یا سلیقه ارزیاب معیار پنهان جایگزین نیست. اگر دو معیار اولویت نیز برابر باشد، پرونده‌ها هم‌رتبه‌اند و کمیته باید درباره تقدیر هم‌سطح یا ظرفیت، در چارچوب سیاست از پیش اعلام‌شده، تصمیم مستند بگیرد. رتبه‌بندی میان پرونده‌های هر مسیر انجام می‌شود؛ هر نوع مقایسه نهایی بین مسیرها باید با سیاست اعلام‌شده و توجه به تفاوت زمینه‌ها باشد.</w:t>
      </w:r>
    </w:p>
    <w:p>
      <w:pPr>
        <w:pStyle w:val="Heading1"/>
        <w:jc w:val="right"/>
        <w:bidi w:val="1"/>
      </w:pPr>
      <w:r>
        <w:rPr>
          <w:rFonts w:ascii="DejaVu Sans" w:hAnsi="DejaVu Sans" w:cs="DejaVu Sans"/>
          <w:rtl w:val="1"/>
        </w:rPr>
        <w:t>۱۱. اعلام نتیجه  بازخورد  اعتراض و محرمانگی</w:t>
      </w:r>
    </w:p>
    <w:p>
      <w:pPr>
        <w:jc w:val="right"/>
        <w:bidi w:val="1"/>
      </w:pPr>
      <w:r>
        <w:rPr>
          <w:rFonts w:ascii="DejaVu Sans" w:hAnsi="DejaVu Sans" w:cs="DejaVu Sans"/>
          <w:rtl w:val="1"/>
        </w:rPr>
        <w:t>نامزد باید بتواند وضعیت پرونده، درخواست رفع نقص، خلاصه نتیجه ارزیابی و دلیل تصمیم نهایی را در حساب خود پیگیری کند. عنوان وضعیت‌های پیشنهادی شامل «پیش‌نویس»، «ثبت‌شده»، «در بررسی اولیه»، «نیازمند تکمیل»، «در ارزیابی تخصصی»، «در انتظار تأیید نهایی»، «تأییدشده»، «انتخاب‌نشده» و «ردشده با دلیل» است. تغییر وضعیت باید به اقدام و مرجع مشخص متصل باشد؛ صرف تکمیل صددرصدی فرم، نتیجه تأیید ایجاد نمی‌کند.</w:t>
      </w:r>
    </w:p>
    <w:p>
      <w:pPr>
        <w:jc w:val="right"/>
        <w:bidi w:val="1"/>
      </w:pPr>
      <w:r>
        <w:rPr>
          <w:rFonts w:ascii="DejaVu Sans" w:hAnsi="DejaVu Sans" w:cs="DejaVu Sans"/>
          <w:rtl w:val="1"/>
        </w:rPr>
        <w:t>پیش از اعلام عمومی، نتیجه به نامزد اطلاع داده می‌شود. درخواست بازبینی باید در مهلتی که از قبل برای دوره اعلام شده، با اشاره به خطای اطلاعات، شاهد نادیده‌گرفته‌شده، تعارض منافع یا خطای محاسبه ثبت شود. مرجع بازبینی مستقل از فرد دارای تعارض، تصمیم و دلیل را ثبت می‌کند. مهلت عددی یا حق حقوقی مشخصی در اسناد داده‌شده تعیین نشده و این پیش‌نویس آن را مصوب فرض نمی‌کند.</w:t>
      </w:r>
    </w:p>
    <w:p>
      <w:pPr>
        <w:jc w:val="right"/>
        <w:bidi w:val="1"/>
      </w:pPr>
      <w:r>
        <w:rPr>
          <w:rFonts w:ascii="DejaVu Sans" w:hAnsi="DejaVu Sans" w:cs="DejaVu Sans"/>
          <w:rtl w:val="1"/>
        </w:rPr>
        <w:t>انتشار عمومی، پس از تأیید نهایی و رضایت مربوط، می‌تواند شامل نام، مسیر، عنوان فعالیت، خلاصه اثر و سطح تقدیر باشد. کد ملی، شماره همراه، یادداشت‌های داخلی، رأی خام ارزیابان و مستندات محرمانه در فهرست عمومی قرار نمی‌گیرد. دبیرخانه گزارش تجمیعی از تعداد پرونده‌ها، مسیرها، وضعیت بررسی و نتایج برای پایش سالانه تهیه می‌کند؛ داده شناسایی‌کننده اشخاص باید فقط برای کاربر مجاز و در حد نیاز قابل مشاهده باشد.</w:t>
      </w:r>
    </w:p>
    <w:p>
      <w:pPr>
        <w:pStyle w:val="Heading1"/>
        <w:jc w:val="right"/>
        <w:bidi w:val="1"/>
      </w:pPr>
      <w:r>
        <w:rPr>
          <w:rFonts w:ascii="DejaVu Sans" w:hAnsi="DejaVu Sans" w:cs="DejaVu Sans"/>
          <w:rtl w:val="1"/>
        </w:rPr>
        <w:t>منابع تدوین</w:t>
      </w:r>
    </w:p>
    <w:p>
      <w:pPr>
        <w:jc w:val="right"/>
        <w:bidi w:val="1"/>
      </w:pPr>
      <w:r>
        <w:rPr>
          <w:rFonts w:ascii="DejaVu Sans" w:hAnsi="DejaVu Sans" w:cs="DejaVu Sans"/>
          <w:rtl w:val="1"/>
        </w:rPr>
        <w:t>طرح پیشنهادی فرایند شناسایی ارزیابی و انتخاب افراد شایسته تقدیر در دانشگاه صنعتی شریف و پیوست ماتریس امتیازدهی؛ مستند ارائه‌شده از سوی سفارش‌دهنده. نمونه صفحات ثبت نام داشبورد انتخاب نوع جایزه و فرم خوداظهاری بنیاد مستضعفان برای الگوی تکمیل و پیگیری پرونده بررسی شده‌اند. معیارهای صنعتی و جدول پنجاه به علاوه پنجاه به ارزیابی دانشگاهی منتقل نشده‌اند.</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B8794"/>
        <w:sz w:val="16"/>
      </w:rPr>
      <w:t xml:space="preserve">دانشگاه صنعتی شریف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24" w:lineRule="auto"/>
    </w:pPr>
    <w:rPr>
      <w:rFonts w:ascii="DejaVu Sans" w:hAnsi="DejaVu Sans" w:cs="DejaVu Sans"/>
      <w:color w:val="25354A"/>
      <w:sz w:val="22"/>
      <w:rt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324" w:lineRule="auto"/>
      <w:outlineLvl w:val="0"/>
    </w:pPr>
    <w:rPr>
      <w:rFonts w:asciiTheme="majorHAnsi" w:eastAsiaTheme="majorEastAsia" w:hAnsiTheme="majorHAnsi" w:cstheme="majorBidi" w:ascii="DejaVu Sans" w:hAnsi="DejaVu Sans" w:cs="DejaVu Sans"/>
      <w:b/>
      <w:bCs/>
      <w:color w:val="193B6F"/>
      <w:sz w:val="28"/>
      <w:szCs w:val="28"/>
      <w:rtl/>
    </w:rPr>
  </w:style>
  <w:style w:type="paragraph" w:styleId="Heading2">
    <w:name w:val="heading 2"/>
    <w:basedOn w:val="Normal"/>
    <w:next w:val="Normal"/>
    <w:link w:val="Heading2Char"/>
    <w:uiPriority w:val="9"/>
    <w:unhideWhenUsed/>
    <w:qFormat/>
    <w:rsid w:val="00FC693F"/>
    <w:pPr>
      <w:keepNext/>
      <w:keepLines/>
      <w:spacing w:before="200" w:after="140" w:line="324" w:lineRule="auto"/>
      <w:outlineLvl w:val="1"/>
    </w:pPr>
    <w:rPr>
      <w:rFonts w:asciiTheme="majorHAnsi" w:eastAsiaTheme="majorEastAsia" w:hAnsiTheme="majorHAnsi" w:cstheme="majorBidi" w:ascii="DejaVu Sans" w:hAnsi="DejaVu Sans" w:cs="DejaVu Sans"/>
      <w:b/>
      <w:bCs/>
      <w:color w:val="193B6F"/>
      <w:sz w:val="28"/>
      <w:szCs w:val="26"/>
      <w:rt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324" w:lineRule="auto"/>
      <w:contextualSpacing/>
    </w:pPr>
    <w:rPr>
      <w:rFonts w:asciiTheme="majorHAnsi" w:eastAsiaTheme="majorEastAsia" w:hAnsiTheme="majorHAnsi" w:cstheme="majorBidi" w:ascii="DejaVu Sans" w:hAnsi="DejaVu Sans" w:cs="DejaVu Sans"/>
      <w:color w:val="000000"/>
      <w:spacing w:val="5"/>
      <w:kern w:val="28"/>
      <w:sz w:val="42"/>
      <w:szCs w:val="52"/>
      <w:rt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شیوه نامه انتخاب و تقدیر از برگزیدگان دانشگاه صنعتی شریف</dc:title>
  <dc:subject>فرایند پیشنهادی ثبت فعالیت ارزیابی و انتخاب برگزیدگان</dc:subject>
  <dc:creator>مدیریت روابط عمومی و ارتباطات رسانه‌ای دانشگاه صنعتی شریف</dc:creator>
  <cp:keywords/>
  <dc:description>generated by python-docx</dc:description>
  <cp:lastModifiedBy/>
  <cp:revision>1</cp:revision>
  <dcterms:created xsi:type="dcterms:W3CDTF">2013-12-23T23:15:00Z</dcterms:created>
  <dcterms:modified xsi:type="dcterms:W3CDTF">2013-12-23T23:15:00Z</dcterms:modified>
  <cp:category/>
</cp:coreProperties>
</file>